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1200"/>
      </w:pPr>
      <w:r>
        <w:rPr>
          <w:rFonts w:ascii="Calibri" w:cs="Calibri" w:eastAsia="Calibri" w:hAnsi="Calibri"/>
          <w:b/>
          <w:bCs/>
          <w:color w:val="FF4A1C"/>
          <w:sz w:val="30"/>
          <w:szCs w:val="30"/>
        </w:rPr>
        <w:t xml:space="preserve">ContextBridge</w:t>
      </w:r>
    </w:p>
    <w:p>
      <w:pPr>
        <w:spacing w:after="160"/>
      </w:pPr>
      <w:r>
        <w:rPr>
          <w:rFonts w:ascii="Calibri" w:cs="Calibri" w:eastAsia="Calibri" w:hAnsi="Calibri"/>
          <w:b/>
          <w:bCs/>
          <w:color w:val="0C0E13"/>
          <w:sz w:val="84"/>
          <w:szCs w:val="84"/>
        </w:rPr>
        <w:t xml:space="preserve">Benchmark report</w:t>
      </w:r>
    </w:p>
    <w:p>
      <w:pPr>
        <w:pBdr>
          <w:bottom w:val="single" w:color="FF4A1C" w:sz="14" w:space="8"/>
        </w:pBdr>
        <w:spacing w:after="400"/>
      </w:pPr>
      <w:r>
        <w:rPr>
          <w:rFonts w:ascii="Calibri" w:cs="Calibri" w:eastAsia="Calibri" w:hAnsi="Calibri"/>
          <w:i/>
          <w:iCs/>
          <w:color w:val="666B78"/>
          <w:sz w:val="32"/>
          <w:szCs w:val="32"/>
        </w:rPr>
        <w:t xml:space="preserve">Measured, not claimed.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rPr>
          <w:cantSplit/>
          <w:tblHeader/>
        </w:trPr>
        <w:tc>
          <w:tcPr>
            <w:tcW w:type="dxa" w:w="240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Item</w:t>
            </w:r>
          </w:p>
        </w:tc>
        <w:tc>
          <w:tcPr>
            <w:tcW w:type="dxa" w:w="696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Value</w:t>
            </w:r>
          </w:p>
        </w:tc>
      </w:tr>
      <w:tr>
        <w:trPr>
          <w:cantSplit/>
        </w:trPr>
        <w:tc>
          <w:tcPr>
            <w:tcW w:type="dxa" w:w="24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Version tested</w:t>
            </w:r>
          </w:p>
        </w:tc>
        <w:tc>
          <w:tcPr>
            <w:tcW w:type="dxa" w:w="69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0.3.3 (commit 30c2b62 + working tree)</w:t>
            </w:r>
          </w:p>
        </w:tc>
      </w:tr>
      <w:tr>
        <w:trPr>
          <w:cantSplit/>
        </w:trPr>
        <w:tc>
          <w:tcPr>
            <w:tcW w:type="dxa" w:w="24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Date</w:t>
            </w:r>
          </w:p>
        </w:tc>
        <w:tc>
          <w:tcPr>
            <w:tcW w:type="dxa" w:w="69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2026-10-12</w:t>
            </w:r>
          </w:p>
        </w:tc>
      </w:tr>
      <w:tr>
        <w:trPr>
          <w:cantSplit/>
        </w:trPr>
        <w:tc>
          <w:tcPr>
            <w:tcW w:type="dxa" w:w="24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Machine</w:t>
            </w:r>
          </w:p>
        </w:tc>
        <w:tc>
          <w:tcPr>
            <w:tcW w:type="dxa" w:w="69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Apple M3, 8 cores, Darwin 25.6.0 arm64</w:t>
            </w:r>
          </w:p>
        </w:tc>
      </w:tr>
      <w:tr>
        <w:trPr>
          <w:cantSplit/>
        </w:trPr>
        <w:tc>
          <w:tcPr>
            <w:tcW w:type="dxa" w:w="24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Python / Git</w:t>
            </w:r>
          </w:p>
        </w:tc>
        <w:tc>
          <w:tcPr>
            <w:tcW w:type="dxa" w:w="69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3.14.6 / 2.51.0</w:t>
            </w:r>
          </w:p>
        </w:tc>
      </w:tr>
      <w:tr>
        <w:trPr>
          <w:cantSplit/>
        </w:trPr>
        <w:tc>
          <w:tcPr>
            <w:tcW w:type="dxa" w:w="24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Test volume</w:t>
            </w:r>
          </w:p>
        </w:tc>
        <w:tc>
          <w:tcPr>
            <w:tcW w:type="dxa" w:w="69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86 labeled scenarios, 800 randomized trials, 15 test-suite repeats, 1,737,973 lines of real code scanned</w:t>
            </w:r>
          </w:p>
        </w:tc>
      </w:tr>
    </w:tbl>
    <w:p>
      <w:pPr>
        <w:spacing w:after="160"/>
      </w:pPr>
    </w:p>
    <w:p>
      <w:pPr>
        <w:pStyle w:val="Heading1"/>
      </w:pPr>
      <w:r>
        <w:t xml:space="preserve">Summary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7160"/>
      </w:tblGrid>
      <w:tr>
        <w:trPr>
          <w:cantSplit/>
          <w:tblHeader/>
        </w:trPr>
        <w:tc>
          <w:tcPr>
            <w:tcW w:type="dxa" w:w="220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Area</w:t>
            </w:r>
          </w:p>
        </w:tc>
        <w:tc>
          <w:tcPr>
            <w:tcW w:type="dxa" w:w="716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Result</w:t>
            </w:r>
          </w:p>
        </w:tc>
      </w:tr>
      <w:tr>
        <w:trPr>
          <w:cantSplit/>
        </w:trPr>
        <w:tc>
          <w:tcPr>
            <w:tcW w:type="dxa" w:w="2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Gate accuracy</w:t>
            </w:r>
          </w:p>
        </w:tc>
        <w:tc>
          <w:tcPr>
            <w:tcW w:type="dxa" w:w="71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85 of 86 labeled scenarios return the expected verdict. 1 miss (listed in section 1).</w:t>
            </w:r>
          </w:p>
        </w:tc>
      </w:tr>
      <w:tr>
        <w:trPr>
          <w:cantSplit/>
        </w:trPr>
        <w:tc>
          <w:tcPr>
            <w:tcW w:type="dxa" w:w="2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Randomized testing</w:t>
            </w:r>
          </w:p>
        </w:tc>
        <w:tc>
          <w:tcPr>
            <w:tcW w:type="dxa" w:w="71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799 of 800 random operation sequences agree with an independent oracle (99.9%).</w:t>
            </w:r>
          </w:p>
        </w:tc>
      </w:tr>
      <w:tr>
        <w:trPr>
          <w:cantSplit/>
        </w:trPr>
        <w:tc>
          <w:tcPr>
            <w:tcW w:type="dxa" w:w="2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Token cost</w:t>
            </w:r>
          </w:p>
        </w:tc>
        <w:tc>
          <w:tcPr>
            <w:tcW w:type="dxa" w:w="71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resume --check: median 65 tokens (p90 114). Full resume: median 468.5 (p90 537). Stays flat as projects grow because the handoff is capped.</w:t>
            </w:r>
          </w:p>
        </w:tc>
      </w:tr>
      <w:tr>
        <w:trPr>
          <w:cantSplit/>
        </w:trPr>
        <w:tc>
          <w:tcPr>
            <w:tcW w:type="dxa" w:w="2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Speed</w:t>
            </w:r>
          </w:p>
        </w:tc>
        <w:tc>
          <w:tcPr>
            <w:tcW w:type="dxa" w:w="71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143 ms to check 10,000 files with 500 uncommitted changes (about 40 ms is Python startup).</w:t>
            </w:r>
          </w:p>
        </w:tc>
      </w:tr>
      <w:tr>
        <w:trPr>
          <w:cantSplit/>
        </w:trPr>
        <w:tc>
          <w:tcPr>
            <w:tcW w:type="dxa" w:w="2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Secret scanner</w:t>
            </w:r>
          </w:p>
        </w:tc>
        <w:tc>
          <w:tcPr>
            <w:tcW w:type="dxa" w:w="71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100% recall on 31 covered formats (1,000 samples each); 0% on 5 uncovered formats; 10 false positives in 979,577 lines of Python stdlib.</w:t>
            </w:r>
          </w:p>
        </w:tc>
      </w:tr>
      <w:tr>
        <w:trPr>
          <w:cantSplit/>
        </w:trPr>
        <w:tc>
          <w:tcPr>
            <w:tcW w:type="dxa" w:w="2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Reliability</w:t>
            </w:r>
          </w:p>
        </w:tc>
        <w:tc>
          <w:tcPr>
            <w:tcW w:type="dxa" w:w="71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Test suite passed 15 of 15 repeated runs and passes on Python 3.11.13 and 3.14.6. Parallel writers lost no entries (100 of 100 test runs recorded).</w:t>
            </w:r>
          </w:p>
        </w:tc>
      </w:tr>
    </w:tbl>
    <w:p>
      <w:pPr>
        <w:spacing w:after="160"/>
      </w:pPr>
    </w:p>
    <w:p>
      <w:pPr>
        <w:pStyle w:val="Heading2"/>
      </w:pPr>
      <w:r>
        <w:t xml:space="preserve">What this report does not show</w:t>
      </w:r>
    </w:p>
    <w:p>
      <w:pPr>
        <w:pStyle w:val="ListParagraph"/>
        <w:numPr>
          <w:ilvl w:val="0"/>
          <w:numId w:val="2"/>
        </w:numPr>
        <w:spacing w:after="80" w:line="276"/>
      </w:pPr>
      <w:r>
        <w:rPr>
          <w:rFonts w:ascii="Calibri" w:cs="Calibri" w:eastAsia="Calibri" w:hAnsi="Calibri"/>
          <w:color w:val="0C0E13"/>
          <w:sz w:val="22"/>
          <w:szCs w:val="22"/>
        </w:rPr>
        <w:t xml:space="preserve">It does not measure whether an AI agent completes tasks better with ContextBridge. That requires many paid agent runs against a baseline.</w:t>
      </w:r>
    </w:p>
    <w:p>
      <w:pPr>
        <w:pStyle w:val="ListParagraph"/>
        <w:numPr>
          <w:ilvl w:val="0"/>
          <w:numId w:val="2"/>
        </w:numPr>
        <w:spacing w:after="80" w:line="276"/>
      </w:pPr>
      <w:r>
        <w:rPr>
          <w:rFonts w:ascii="Calibri" w:cs="Calibri" w:eastAsia="Calibri" w:hAnsi="Calibri"/>
          <w:color w:val="0C0E13"/>
          <w:sz w:val="22"/>
          <w:szCs w:val="22"/>
        </w:rPr>
        <w:t xml:space="preserve">Scenario expectations were written by the author. The fuzz oracle is independent code, but also by the author.</w:t>
      </w:r>
    </w:p>
    <w:p>
      <w:pPr>
        <w:pStyle w:val="ListParagraph"/>
        <w:numPr>
          <w:ilvl w:val="0"/>
          <w:numId w:val="2"/>
        </w:numPr>
        <w:spacing w:after="80" w:line="276"/>
      </w:pPr>
      <w:r>
        <w:rPr>
          <w:rFonts w:ascii="Calibri" w:cs="Calibri" w:eastAsia="Calibri" w:hAnsi="Calibri"/>
          <w:color w:val="0C0E13"/>
          <w:sz w:val="22"/>
          <w:szCs w:val="22"/>
        </w:rPr>
        <w:t xml:space="preserve">Token counts use OpenAI-style tokenizers (cl100k, o200k) as a proxy for Claude's tokenizer, which is not available offline.</w:t>
      </w:r>
    </w:p>
    <w:p>
      <w:pPr>
        <w:pStyle w:val="ListParagraph"/>
        <w:numPr>
          <w:ilvl w:val="0"/>
          <w:numId w:val="2"/>
        </w:numPr>
        <w:spacing w:after="80" w:line="276"/>
      </w:pPr>
      <w:r>
        <w:rPr>
          <w:rFonts w:ascii="Calibri" w:cs="Calibri" w:eastAsia="Calibri" w:hAnsi="Calibri"/>
          <w:color w:val="0C0E13"/>
          <w:sz w:val="22"/>
          <w:szCs w:val="22"/>
        </w:rPr>
        <w:t xml:space="preserve">One machine (Apple M3, macOS). Linux and Windows are covered by CI for functionality, not benchmarked.</w:t>
      </w:r>
    </w:p>
    <w:p>
      <w:pPr>
        <w:pStyle w:val="ListParagraph"/>
        <w:numPr>
          <w:ilvl w:val="0"/>
          <w:numId w:val="2"/>
        </w:numPr>
        <w:spacing w:after="80" w:line="276"/>
      </w:pPr>
      <w:r>
        <w:rPr>
          <w:rFonts w:ascii="Calibri" w:cs="Calibri" w:eastAsia="Calibri" w:hAnsi="Calibri"/>
          <w:color w:val="0C0E13"/>
          <w:sz w:val="22"/>
          <w:szCs w:val="22"/>
        </w:rPr>
        <w:t xml:space="preserve">No other tool was installed or compared.</w:t>
      </w:r>
    </w:p>
    <w:p>
      <w:r>
        <w:br w:type="page"/>
      </w:r>
    </w:p>
    <w:p>
      <w:pPr>
        <w:pStyle w:val="Heading1"/>
      </w:pPr>
      <w:r>
        <w:t xml:space="preserve">1. Gate accuracy</w:t>
      </w:r>
    </w:p>
    <w:p>
      <w:pPr>
        <w:spacing w:after="140" w:line="288"/>
      </w:pPr>
      <w:r>
        <w:rPr>
          <w:rFonts w:ascii="Calibri" w:cs="Calibri" w:eastAsia="Calibri" w:hAnsi="Calibri"/>
          <w:color w:val="0C0E13"/>
          <w:sz w:val="22"/>
          <w:szCs w:val="22"/>
        </w:rPr>
        <w:t xml:space="preserve">86 scenarios. Each builds a repository with a recorded test run, work items, a decision and an assumption, saves a checkpoint, applies one change, and compares the verdict from resume --json with the expected one.</w:t>
      </w:r>
    </w:p>
    <w:p>
      <w:pPr>
        <w:keepNext/>
        <w:spacing w:after="60" w:before="120"/>
        <w:jc w:val="center"/>
      </w:pPr>
      <w:r>
        <w:drawing>
          <wp:inline distT="0" distB="0" distL="0" distR="0">
            <wp:extent cx="5334000" cy="3800475"/>
            <wp:effectExtent t="0" r="0" b="0" l="0"/>
            <wp:docPr id="1" name="scenarios.png" descr="Figure 1. Scenarios by family; green matches the expected verdict." title="Figure 1. Scenarios by family; green matches the expected verdi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334000" cy="3800475"/>
                    </a:xfrm>
                    <a:prstGeom prst="rect">
                      <a:avLst/>
                    </a:prstGeom>
                  </pic:spPr>
                </pic:pic>
              </a:graphicData>
            </a:graphic>
          </wp:inline>
        </w:drawing>
      </w:r>
    </w:p>
    <w:p>
      <w:pPr>
        <w:spacing w:after="220" w:line="288"/>
        <w:jc w:val="center"/>
      </w:pPr>
      <w:r>
        <w:rPr>
          <w:rFonts w:ascii="Calibri" w:cs="Calibri" w:eastAsia="Calibri" w:hAnsi="Calibri"/>
          <w:i/>
          <w:iCs/>
          <w:color w:val="666B78"/>
          <w:sz w:val="18"/>
          <w:szCs w:val="18"/>
        </w:rPr>
        <w:t xml:space="preserve">Figure 1. Scenarios by family; green matches the expected verdict.</w:t>
      </w:r>
    </w:p>
    <w:p>
      <w:pPr>
        <w:pStyle w:val="Heading2"/>
      </w:pPr>
      <w:r>
        <w:t xml:space="preserve">Misses (1)</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200"/>
        <w:gridCol w:w="2000"/>
        <w:gridCol w:w="2160"/>
      </w:tblGrid>
      <w:tr>
        <w:trPr>
          <w:cantSplit/>
          <w:tblHeader/>
        </w:trPr>
        <w:tc>
          <w:tcPr>
            <w:tcW w:type="dxa" w:w="520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Scenario</w:t>
            </w:r>
          </w:p>
        </w:tc>
        <w:tc>
          <w:tcPr>
            <w:tcW w:type="dxa" w:w="200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Expected</w:t>
            </w:r>
          </w:p>
        </w:tc>
        <w:tc>
          <w:tcPr>
            <w:tcW w:type="dxa" w:w="216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Got</w:t>
            </w:r>
          </w:p>
        </w:tc>
      </w:tr>
      <w:tr>
        <w:trPr>
          <w:cantSplit/>
        </w:trPr>
        <w:tc>
          <w:tcPr>
            <w:tcW w:type="dxa" w:w="5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remote_ahead_unfetched</w:t>
            </w:r>
          </w:p>
          <w:p>
            <w:pPr>
              <w:spacing w:after="0" w:line="252"/>
            </w:pPr>
            <w:r>
              <w:rPr>
                <w:rFonts w:ascii="Calibri" w:cs="Calibri" w:eastAsia="Calibri" w:hAnsi="Calibri"/>
                <w:b w:val="false"/>
                <w:bCs w:val="false"/>
                <w:color w:val="0C0E13"/>
                <w:sz w:val="18"/>
                <w:szCs w:val="18"/>
              </w:rPr>
              <w:t xml:space="preserve">teammate pushed to origin; local clone has not fetched</w:t>
            </w:r>
          </w:p>
        </w:tc>
        <w:tc>
          <w:tcPr>
            <w:tcW w:type="dxa" w:w="20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REVIEW_REQUIRED</w:t>
            </w:r>
          </w:p>
        </w:tc>
        <w:tc>
          <w:tcPr>
            <w:tcW w:type="dxa" w:w="21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READY</w:t>
            </w:r>
          </w:p>
        </w:tc>
      </w:tr>
    </w:tbl>
    <w:p>
      <w:pPr>
        <w:spacing w:after="200" w:line="288"/>
      </w:pPr>
      <w:r>
        <w:rPr>
          <w:rFonts w:ascii="Calibri" w:cs="Calibri" w:eastAsia="Calibri" w:hAnsi="Calibri"/>
          <w:color w:val="666B78"/>
          <w:sz w:val="20"/>
          <w:szCs w:val="20"/>
        </w:rPr>
        <w:t xml:space="preserve">An unfetched remote is invisible by design because ContextBridge makes no network calls; run git fetch before resume.</w:t>
      </w:r>
    </w:p>
    <w:p>
      <w:pPr>
        <w:pStyle w:val="Heading1"/>
      </w:pPr>
      <w:r>
        <w:t xml:space="preserve">2. Randomized testing against an independent oracle</w:t>
      </w:r>
    </w:p>
    <w:p>
      <w:pPr>
        <w:spacing w:after="140" w:line="288"/>
      </w:pPr>
      <w:r>
        <w:rPr>
          <w:rFonts w:ascii="Calibri" w:cs="Calibri" w:eastAsia="Calibri" w:hAnsi="Calibri"/>
          <w:color w:val="0C0E13"/>
          <w:sz w:val="22"/>
          <w:szCs w:val="22"/>
        </w:rPr>
        <w:t xml:space="preserve">Each of 800 trials applies 1 to 5 random operations (edit, add, delete, commit, empty commit, new branch, back to main, reset, amend, touch, ignored file, .env, stash, pop, rename, restore, tag). An independent oracle, written with plain git plumbing and content hashes, decides the expected verdict: BLOCKED if the branch changed, the checkpoint commit is no longer an ancestor, or the notes are missing; REVIEW_REQUIRED if HEAD or any non-ignored file content changed; otherwise READY. Seeds 20261012 and 777; the later seed never edits the tool's own notes.</w:t>
      </w:r>
    </w:p>
    <w:p>
      <w:pPr>
        <w:keepNext/>
        <w:spacing w:after="60" w:before="120"/>
        <w:jc w:val="center"/>
      </w:pPr>
      <w:r>
        <w:drawing>
          <wp:inline distT="0" distB="0" distL="0" distR="0">
            <wp:extent cx="3429000" cy="2676525"/>
            <wp:effectExtent t="0" r="0" b="0" l="0"/>
            <wp:docPr id="2" name="fuzz.png" descr="Figure 2. Oracle versus tool: 799 of 800 agree." title="Figure 2. Oracle versus tool: 799 of 800 ag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429000" cy="2676525"/>
                    </a:xfrm>
                    <a:prstGeom prst="rect">
                      <a:avLst/>
                    </a:prstGeom>
                  </pic:spPr>
                </pic:pic>
              </a:graphicData>
            </a:graphic>
          </wp:inline>
        </w:drawing>
      </w:r>
    </w:p>
    <w:p>
      <w:pPr>
        <w:spacing w:after="220" w:line="288"/>
        <w:jc w:val="center"/>
      </w:pPr>
      <w:r>
        <w:rPr>
          <w:rFonts w:ascii="Calibri" w:cs="Calibri" w:eastAsia="Calibri" w:hAnsi="Calibri"/>
          <w:i/>
          <w:iCs/>
          <w:color w:val="666B78"/>
          <w:sz w:val="18"/>
          <w:szCs w:val="18"/>
        </w:rPr>
        <w:t xml:space="preserve">Figure 2. Oracle versus tool: 799 of 800 agree.</w:t>
      </w:r>
    </w:p>
    <w:p>
      <w:pPr>
        <w:pStyle w:val="Heading2"/>
      </w:pPr>
      <w:r>
        <w:t xml:space="preserve">Disagreements (1)</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00"/>
        <w:gridCol w:w="1700"/>
        <w:gridCol w:w="1250"/>
        <w:gridCol w:w="1250"/>
        <w:gridCol w:w="4060"/>
      </w:tblGrid>
      <w:tr>
        <w:trPr>
          <w:cantSplit/>
          <w:tblHeader/>
        </w:trPr>
        <w:tc>
          <w:tcPr>
            <w:tcW w:type="dxa" w:w="110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5"/>
                <w:szCs w:val="15"/>
              </w:rPr>
              <w:t xml:space="preserve">Seed / trial</w:t>
            </w:r>
          </w:p>
        </w:tc>
        <w:tc>
          <w:tcPr>
            <w:tcW w:type="dxa" w:w="170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5"/>
                <w:szCs w:val="15"/>
              </w:rPr>
              <w:t xml:space="preserve">Operations</w:t>
            </w:r>
          </w:p>
        </w:tc>
        <w:tc>
          <w:tcPr>
            <w:tcW w:type="dxa" w:w="125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5"/>
                <w:szCs w:val="15"/>
              </w:rPr>
              <w:t xml:space="preserve">Oracle</w:t>
            </w:r>
          </w:p>
        </w:tc>
        <w:tc>
          <w:tcPr>
            <w:tcW w:type="dxa" w:w="125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5"/>
                <w:szCs w:val="15"/>
              </w:rPr>
              <w:t xml:space="preserve">Tool</w:t>
            </w:r>
          </w:p>
        </w:tc>
        <w:tc>
          <w:tcPr>
            <w:tcW w:type="dxa" w:w="406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5"/>
                <w:szCs w:val="15"/>
              </w:rPr>
              <w:t xml:space="preserve">What happened</w:t>
            </w:r>
          </w:p>
        </w:tc>
      </w:tr>
      <w:tr>
        <w:trPr>
          <w:cantSplit/>
        </w:trPr>
        <w:tc>
          <w:tcPr>
            <w:tcW w:type="dxa" w:w="11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20261012 / 169</w:t>
            </w:r>
          </w:p>
        </w:tc>
        <w:tc>
          <w:tcPr>
            <w:tcW w:type="dxa" w:w="17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commit &gt; env &gt; edit &gt; delete</w:t>
            </w:r>
          </w:p>
        </w:tc>
        <w:tc>
          <w:tcPr>
            <w:tcW w:type="dxa" w:w="125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125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BLOCKED</w:t>
            </w:r>
          </w:p>
        </w:tc>
        <w:tc>
          <w:tcPr>
            <w:tcW w:type="dxa" w:w="40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contextbridge/graph.json is not valid JSON (Extra data: line 47 column 1 (char 8</w:t>
            </w:r>
          </w:p>
          <w:p>
            <w:pPr>
              <w:spacing w:after="0" w:line="252"/>
            </w:pPr>
            <w:r>
              <w:rPr>
                <w:rFonts w:ascii="Calibri" w:cs="Calibri" w:eastAsia="Calibri" w:hAnsi="Calibri"/>
                <w:b w:val="false"/>
                <w:bCs w:val="false"/>
                <w:color w:val="0C0E13"/>
                <w:sz w:val="15"/>
                <w:szCs w:val="15"/>
              </w:rPr>
              <w:t xml:space="preserve">The random 'edit' step appended text to a notes file under contextbridge/ that an earlier `git add -A` had committed. The tool correctly returned BLOCKED (corrupt notes); the oracle only checks that state.json exists. Harness artifact, not a tool bug. Later seeds exclude the notes from edit targets.</w:t>
            </w:r>
          </w:p>
        </w:tc>
      </w:tr>
    </w:tbl>
    <w:p>
      <w:pPr>
        <w:spacing w:after="140" w:line="288"/>
      </w:pPr>
      <w:r>
        <w:rPr>
          <w:rFonts w:ascii="Calibri" w:cs="Calibri" w:eastAsia="Calibri" w:hAnsi="Calibri"/>
          <w:color w:val="666B78"/>
          <w:sz w:val="20"/>
          <w:szCs w:val="20"/>
        </w:rPr>
        <w:t xml:space="preserve">Seed 20261012: 399 of 400 agree.</w:t>
      </w:r>
    </w:p>
    <w:p>
      <w:pPr>
        <w:spacing w:after="140" w:line="288"/>
      </w:pPr>
      <w:r>
        <w:rPr>
          <w:rFonts w:ascii="Calibri" w:cs="Calibri" w:eastAsia="Calibri" w:hAnsi="Calibri"/>
          <w:color w:val="666B78"/>
          <w:sz w:val="20"/>
          <w:szCs w:val="20"/>
        </w:rPr>
        <w:t xml:space="preserve">Seed 777: 400 of 400 agree (notes excluded from edit targets).</w:t>
      </w:r>
    </w:p>
    <w:p>
      <w:r>
        <w:br w:type="page"/>
      </w:r>
    </w:p>
    <w:p>
      <w:pPr>
        <w:pStyle w:val="Heading1"/>
      </w:pPr>
      <w:r>
        <w:t xml:space="preserve">3. Token cost</w:t>
      </w:r>
    </w:p>
    <w:p>
      <w:pPr>
        <w:spacing w:after="140" w:line="288"/>
      </w:pPr>
      <w:r>
        <w:rPr>
          <w:rFonts w:ascii="Calibri" w:cs="Calibri" w:eastAsia="Calibri" w:hAnsi="Calibri"/>
          <w:color w:val="0C0E13"/>
          <w:sz w:val="22"/>
          <w:szCs w:val="22"/>
        </w:rPr>
        <w:t xml:space="preserve">Token counts use tiktoken (cl100k_base and o200k_base) over the real output of the CLI. They are proxies: Claude's tokenizer differs, typically by a modest margin.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400"/>
        <w:gridCol w:w="1400"/>
        <w:gridCol w:w="1400"/>
        <w:gridCol w:w="1700"/>
        <w:gridCol w:w="1460"/>
      </w:tblGrid>
      <w:tr>
        <w:trPr>
          <w:cantSplit/>
          <w:tblHeader/>
        </w:trPr>
        <w:tc>
          <w:tcPr>
            <w:tcW w:type="dxa" w:w="340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Output</w:t>
            </w:r>
          </w:p>
        </w:tc>
        <w:tc>
          <w:tcPr>
            <w:tcW w:type="dxa" w:w="140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Median</w:t>
            </w:r>
          </w:p>
        </w:tc>
        <w:tc>
          <w:tcPr>
            <w:tcW w:type="dxa" w:w="140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p90</w:t>
            </w:r>
          </w:p>
        </w:tc>
        <w:tc>
          <w:tcPr>
            <w:tcW w:type="dxa" w:w="170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Max</w:t>
            </w:r>
          </w:p>
        </w:tc>
        <w:tc>
          <w:tcPr>
            <w:tcW w:type="dxa" w:w="146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Scenarios</w:t>
            </w:r>
          </w:p>
        </w:tc>
      </w:tr>
      <w:tr>
        <w:trPr>
          <w:cantSplit/>
        </w:trPr>
        <w:tc>
          <w:tcPr>
            <w:tcW w:type="dxa" w:w="34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resume --check</w:t>
            </w:r>
          </w:p>
        </w:tc>
        <w:tc>
          <w:tcPr>
            <w:tcW w:type="dxa" w:w="14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65</w:t>
            </w:r>
          </w:p>
        </w:tc>
        <w:tc>
          <w:tcPr>
            <w:tcW w:type="dxa" w:w="14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114</w:t>
            </w:r>
          </w:p>
        </w:tc>
        <w:tc>
          <w:tcPr>
            <w:tcW w:type="dxa" w:w="17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262</w:t>
            </w:r>
          </w:p>
        </w:tc>
        <w:tc>
          <w:tcPr>
            <w:tcW w:type="dxa" w:w="14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46</w:t>
            </w:r>
          </w:p>
        </w:tc>
      </w:tr>
      <w:tr>
        <w:trPr>
          <w:cantSplit/>
        </w:trPr>
        <w:tc>
          <w:tcPr>
            <w:tcW w:type="dxa" w:w="34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resume (gate + handoff)</w:t>
            </w:r>
          </w:p>
        </w:tc>
        <w:tc>
          <w:tcPr>
            <w:tcW w:type="dxa" w:w="14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468.5</w:t>
            </w:r>
          </w:p>
        </w:tc>
        <w:tc>
          <w:tcPr>
            <w:tcW w:type="dxa" w:w="14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537</w:t>
            </w:r>
          </w:p>
        </w:tc>
        <w:tc>
          <w:tcPr>
            <w:tcW w:type="dxa" w:w="17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584</w:t>
            </w:r>
          </w:p>
        </w:tc>
        <w:tc>
          <w:tcPr>
            <w:tcW w:type="dxa" w:w="14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46</w:t>
            </w:r>
          </w:p>
        </w:tc>
      </w:tr>
    </w:tbl>
    <w:p>
      <w:pPr>
        <w:spacing w:after="200" w:line="288"/>
      </w:pPr>
      <w:r>
        <w:rPr>
          <w:rFonts w:ascii="Calibri" w:cs="Calibri" w:eastAsia="Calibri" w:hAnsi="Calibri"/>
          <w:color w:val="666B78"/>
          <w:sz w:val="20"/>
          <w:szCs w:val="20"/>
        </w:rPr>
        <w:t xml:space="preserve">The maximum comes from the scenario with 1,000 new files. The gate collapses repeated findings into a count, so even that output stays small.</w:t>
      </w:r>
    </w:p>
    <w:p>
      <w:pPr>
        <w:pStyle w:val="Heading2"/>
      </w:pPr>
      <w:r>
        <w:t xml:space="preserve">Against a typical orientation dump</w:t>
      </w:r>
    </w:p>
    <w:p>
      <w:pPr>
        <w:keepNext/>
        <w:spacing w:after="60" w:before="120"/>
        <w:jc w:val="center"/>
      </w:pPr>
      <w:r>
        <w:drawing>
          <wp:inline distT="0" distB="0" distL="0" distR="0">
            <wp:extent cx="5334000" cy="2562225"/>
            <wp:effectExtent t="0" r="0" b="0" l="0"/>
            <wp:docPr id="3" name="tokens_baseline.png" descr="Figure 3. Tokens a fresh agent must read (log scale). The git dump is status + log -20 --stat + diff stat." title="Figure 3. Tokens a fresh agent must read (log scale). The git dump is status + log -20 --stat + diff st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334000" cy="2562225"/>
                    </a:xfrm>
                    <a:prstGeom prst="rect">
                      <a:avLst/>
                    </a:prstGeom>
                  </pic:spPr>
                </pic:pic>
              </a:graphicData>
            </a:graphic>
          </wp:inline>
        </w:drawing>
      </w:r>
    </w:p>
    <w:p>
      <w:pPr>
        <w:spacing w:after="220" w:line="288"/>
        <w:jc w:val="center"/>
      </w:pPr>
      <w:r>
        <w:rPr>
          <w:rFonts w:ascii="Calibri" w:cs="Calibri" w:eastAsia="Calibri" w:hAnsi="Calibri"/>
          <w:i/>
          <w:iCs/>
          <w:color w:val="666B78"/>
          <w:sz w:val="18"/>
          <w:szCs w:val="18"/>
        </w:rPr>
        <w:t xml:space="preserve">Figure 3. Tokens a fresh agent must read (log scale). The git dump is status + log -20 --stat + diff stat.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1200"/>
        <w:gridCol w:w="1300"/>
        <w:gridCol w:w="1300"/>
        <w:gridCol w:w="1300"/>
        <w:gridCol w:w="1560"/>
      </w:tblGrid>
      <w:tr>
        <w:trPr>
          <w:cantSplit/>
          <w:tblHeader/>
        </w:trPr>
        <w:tc>
          <w:tcPr>
            <w:tcW w:type="dxa" w:w="270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Repository</w:t>
            </w:r>
          </w:p>
        </w:tc>
        <w:tc>
          <w:tcPr>
            <w:tcW w:type="dxa" w:w="120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Tracked files</w:t>
            </w:r>
          </w:p>
        </w:tc>
        <w:tc>
          <w:tcPr>
            <w:tcW w:type="dxa" w:w="130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resume --check</w:t>
            </w:r>
          </w:p>
        </w:tc>
        <w:tc>
          <w:tcPr>
            <w:tcW w:type="dxa" w:w="130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Full resume</w:t>
            </w:r>
          </w:p>
        </w:tc>
        <w:tc>
          <w:tcPr>
            <w:tcW w:type="dxa" w:w="130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Git dump</w:t>
            </w:r>
          </w:p>
        </w:tc>
        <w:tc>
          <w:tcPr>
            <w:tcW w:type="dxa" w:w="156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Ratio (dump / resume)</w:t>
            </w:r>
          </w:p>
        </w:tc>
      </w:tr>
      <w:tr>
        <w:trPr>
          <w:cantSplit/>
        </w:trPr>
        <w:tc>
          <w:tcPr>
            <w:tcW w:type="dxa" w:w="27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ContextBridge (this tool)</w:t>
            </w:r>
          </w:p>
        </w:tc>
        <w:tc>
          <w:tcPr>
            <w:tcW w:type="dxa" w:w="1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34</w:t>
            </w:r>
          </w:p>
        </w:tc>
        <w:tc>
          <w:tcPr>
            <w:tcW w:type="dxa" w:w="1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30</w:t>
            </w:r>
          </w:p>
        </w:tc>
        <w:tc>
          <w:tcPr>
            <w:tcW w:type="dxa" w:w="1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391</w:t>
            </w:r>
          </w:p>
        </w:tc>
        <w:tc>
          <w:tcPr>
            <w:tcW w:type="dxa" w:w="1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1,800</w:t>
            </w:r>
          </w:p>
        </w:tc>
        <w:tc>
          <w:tcPr>
            <w:tcW w:type="dxa" w:w="15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4.6x</w:t>
            </w:r>
          </w:p>
        </w:tc>
      </w:tr>
      <w:tr>
        <w:trPr>
          <w:cantSplit/>
        </w:trPr>
        <w:tc>
          <w:tcPr>
            <w:tcW w:type="dxa" w:w="27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Orvantia website</w:t>
            </w:r>
          </w:p>
        </w:tc>
        <w:tc>
          <w:tcPr>
            <w:tcW w:type="dxa" w:w="1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85</w:t>
            </w:r>
          </w:p>
        </w:tc>
        <w:tc>
          <w:tcPr>
            <w:tcW w:type="dxa" w:w="1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30</w:t>
            </w:r>
          </w:p>
        </w:tc>
        <w:tc>
          <w:tcPr>
            <w:tcW w:type="dxa" w:w="1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380</w:t>
            </w:r>
          </w:p>
        </w:tc>
        <w:tc>
          <w:tcPr>
            <w:tcW w:type="dxa" w:w="1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5,922</w:t>
            </w:r>
          </w:p>
        </w:tc>
        <w:tc>
          <w:tcPr>
            <w:tcW w:type="dxa" w:w="15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15.6x</w:t>
            </w:r>
          </w:p>
        </w:tc>
      </w:tr>
      <w:tr>
        <w:trPr>
          <w:cantSplit/>
        </w:trPr>
        <w:tc>
          <w:tcPr>
            <w:tcW w:type="dxa" w:w="27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Orvantia OS</w:t>
            </w:r>
          </w:p>
        </w:tc>
        <w:tc>
          <w:tcPr>
            <w:tcW w:type="dxa" w:w="1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480</w:t>
            </w:r>
          </w:p>
        </w:tc>
        <w:tc>
          <w:tcPr>
            <w:tcW w:type="dxa" w:w="1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30</w:t>
            </w:r>
          </w:p>
        </w:tc>
        <w:tc>
          <w:tcPr>
            <w:tcW w:type="dxa" w:w="1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378</w:t>
            </w:r>
          </w:p>
        </w:tc>
        <w:tc>
          <w:tcPr>
            <w:tcW w:type="dxa" w:w="1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6,569</w:t>
            </w:r>
          </w:p>
        </w:tc>
        <w:tc>
          <w:tcPr>
            <w:tcW w:type="dxa" w:w="15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17.4x</w:t>
            </w:r>
          </w:p>
        </w:tc>
      </w:tr>
      <w:tr>
        <w:trPr>
          <w:cantSplit/>
        </w:trPr>
        <w:tc>
          <w:tcPr>
            <w:tcW w:type="dxa" w:w="27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ContextBridge site</w:t>
            </w:r>
          </w:p>
        </w:tc>
        <w:tc>
          <w:tcPr>
            <w:tcW w:type="dxa" w:w="1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35</w:t>
            </w:r>
          </w:p>
        </w:tc>
        <w:tc>
          <w:tcPr>
            <w:tcW w:type="dxa" w:w="1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30</w:t>
            </w:r>
          </w:p>
        </w:tc>
        <w:tc>
          <w:tcPr>
            <w:tcW w:type="dxa" w:w="1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381</w:t>
            </w:r>
          </w:p>
        </w:tc>
        <w:tc>
          <w:tcPr>
            <w:tcW w:type="dxa" w:w="1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513</w:t>
            </w:r>
          </w:p>
        </w:tc>
        <w:tc>
          <w:tcPr>
            <w:tcW w:type="dxa" w:w="15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1.3x</w:t>
            </w:r>
          </w:p>
        </w:tc>
      </w:tr>
    </w:tbl>
    <w:p>
      <w:pPr>
        <w:spacing w:after="200" w:line="288"/>
      </w:pPr>
      <w:r>
        <w:rPr>
          <w:rFonts w:ascii="Calibri" w:cs="Calibri" w:eastAsia="Calibri" w:hAnsi="Calibri"/>
          <w:color w:val="666B78"/>
          <w:sz w:val="20"/>
          <w:szCs w:val="20"/>
        </w:rPr>
        <w:t xml:space="preserve">The dump is not equivalent information (no evidence, decisions or verdict); it is the size of the cheapest alternative a fresh agent might read.</w:t>
      </w:r>
    </w:p>
    <w:p>
      <w:pPr>
        <w:pStyle w:val="Heading2"/>
      </w:pPr>
      <w:r>
        <w:t xml:space="preserve">Growth with project size</w:t>
      </w:r>
    </w:p>
    <w:p>
      <w:pPr>
        <w:keepNext/>
        <w:spacing w:after="60" w:before="120"/>
        <w:jc w:val="center"/>
      </w:pPr>
      <w:r>
        <w:drawing>
          <wp:inline distT="0" distB="0" distL="0" distR="0">
            <wp:extent cx="5334000" cy="2828925"/>
            <wp:effectExtent t="0" r="0" b="0" l="0"/>
            <wp:docPr id="4" name="tokens_scaling.png" descr="Figure 4. Tokens versus work items (log-log). The handoff is capped at the newest 25 items per list." title="Figure 4. Tokens versus work items (log-log). The handoff is capped at the newest 25 items per 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334000" cy="2828925"/>
                    </a:xfrm>
                    <a:prstGeom prst="rect">
                      <a:avLst/>
                    </a:prstGeom>
                  </pic:spPr>
                </pic:pic>
              </a:graphicData>
            </a:graphic>
          </wp:inline>
        </w:drawing>
      </w:r>
    </w:p>
    <w:p>
      <w:pPr>
        <w:spacing w:after="220" w:line="288"/>
        <w:jc w:val="center"/>
      </w:pPr>
      <w:r>
        <w:rPr>
          <w:rFonts w:ascii="Calibri" w:cs="Calibri" w:eastAsia="Calibri" w:hAnsi="Calibri"/>
          <w:i/>
          <w:iCs/>
          <w:color w:val="666B78"/>
          <w:sz w:val="18"/>
          <w:szCs w:val="18"/>
        </w:rPr>
        <w:t xml:space="preserve">Figure 4. Tokens versus work items (log-log). The handoff is capped at the newest 25 items per list.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1800"/>
        <w:gridCol w:w="1900"/>
        <w:gridCol w:w="1900"/>
        <w:gridCol w:w="1960"/>
      </w:tblGrid>
      <w:tr>
        <w:trPr>
          <w:cantSplit/>
          <w:tblHeader/>
        </w:trPr>
        <w:tc>
          <w:tcPr>
            <w:tcW w:type="dxa" w:w="180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Work items</w:t>
            </w:r>
          </w:p>
        </w:tc>
        <w:tc>
          <w:tcPr>
            <w:tcW w:type="dxa" w:w="180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HANDOFF.md</w:t>
            </w:r>
          </w:p>
        </w:tc>
        <w:tc>
          <w:tcPr>
            <w:tcW w:type="dxa" w:w="190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Full resume</w:t>
            </w:r>
          </w:p>
        </w:tc>
        <w:tc>
          <w:tcPr>
            <w:tcW w:type="dxa" w:w="190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resume --check</w:t>
            </w:r>
          </w:p>
        </w:tc>
        <w:tc>
          <w:tcPr>
            <w:tcW w:type="dxa" w:w="196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Raw state.json</w:t>
            </w:r>
          </w:p>
        </w:tc>
      </w:tr>
      <w:tr>
        <w:trPr>
          <w:cantSplit/>
        </w:trPr>
        <w:tc>
          <w:tcPr>
            <w:tcW w:type="dxa" w:w="18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w:t>
            </w:r>
          </w:p>
        </w:tc>
        <w:tc>
          <w:tcPr>
            <w:tcW w:type="dxa" w:w="18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529</w:t>
            </w:r>
          </w:p>
        </w:tc>
        <w:tc>
          <w:tcPr>
            <w:tcW w:type="dxa" w:w="19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824</w:t>
            </w:r>
          </w:p>
        </w:tc>
        <w:tc>
          <w:tcPr>
            <w:tcW w:type="dxa" w:w="19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203</w:t>
            </w:r>
          </w:p>
        </w:tc>
        <w:tc>
          <w:tcPr>
            <w:tcW w:type="dxa" w:w="19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1,053</w:t>
            </w:r>
          </w:p>
        </w:tc>
      </w:tr>
      <w:tr>
        <w:trPr>
          <w:cantSplit/>
        </w:trPr>
        <w:tc>
          <w:tcPr>
            <w:tcW w:type="dxa" w:w="18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50</w:t>
            </w:r>
          </w:p>
        </w:tc>
        <w:tc>
          <w:tcPr>
            <w:tcW w:type="dxa" w:w="18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1781</w:t>
            </w:r>
          </w:p>
        </w:tc>
        <w:tc>
          <w:tcPr>
            <w:tcW w:type="dxa" w:w="19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2090</w:t>
            </w:r>
          </w:p>
        </w:tc>
        <w:tc>
          <w:tcPr>
            <w:tcW w:type="dxa" w:w="19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217</w:t>
            </w:r>
          </w:p>
        </w:tc>
        <w:tc>
          <w:tcPr>
            <w:tcW w:type="dxa" w:w="19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4,520</w:t>
            </w:r>
          </w:p>
        </w:tc>
      </w:tr>
      <w:tr>
        <w:trPr>
          <w:cantSplit/>
        </w:trPr>
        <w:tc>
          <w:tcPr>
            <w:tcW w:type="dxa" w:w="18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c>
          <w:tcPr>
            <w:tcW w:type="dxa" w:w="18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2621</w:t>
            </w:r>
          </w:p>
        </w:tc>
        <w:tc>
          <w:tcPr>
            <w:tcW w:type="dxa" w:w="19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2930</w:t>
            </w:r>
          </w:p>
        </w:tc>
        <w:tc>
          <w:tcPr>
            <w:tcW w:type="dxa" w:w="19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217</w:t>
            </w:r>
          </w:p>
        </w:tc>
        <w:tc>
          <w:tcPr>
            <w:tcW w:type="dxa" w:w="19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8,855</w:t>
            </w:r>
          </w:p>
        </w:tc>
      </w:tr>
      <w:tr>
        <w:trPr>
          <w:cantSplit/>
        </w:trPr>
        <w:tc>
          <w:tcPr>
            <w:tcW w:type="dxa" w:w="18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250</w:t>
            </w:r>
          </w:p>
        </w:tc>
        <w:tc>
          <w:tcPr>
            <w:tcW w:type="dxa" w:w="18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2621</w:t>
            </w:r>
          </w:p>
        </w:tc>
        <w:tc>
          <w:tcPr>
            <w:tcW w:type="dxa" w:w="19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2930</w:t>
            </w:r>
          </w:p>
        </w:tc>
        <w:tc>
          <w:tcPr>
            <w:tcW w:type="dxa" w:w="19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217</w:t>
            </w:r>
          </w:p>
        </w:tc>
        <w:tc>
          <w:tcPr>
            <w:tcW w:type="dxa" w:w="19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21,853</w:t>
            </w:r>
          </w:p>
        </w:tc>
      </w:tr>
      <w:tr>
        <w:trPr>
          <w:cantSplit/>
        </w:trPr>
        <w:tc>
          <w:tcPr>
            <w:tcW w:type="dxa" w:w="18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500</w:t>
            </w:r>
          </w:p>
        </w:tc>
        <w:tc>
          <w:tcPr>
            <w:tcW w:type="dxa" w:w="18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2621</w:t>
            </w:r>
          </w:p>
        </w:tc>
        <w:tc>
          <w:tcPr>
            <w:tcW w:type="dxa" w:w="19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2930</w:t>
            </w:r>
          </w:p>
        </w:tc>
        <w:tc>
          <w:tcPr>
            <w:tcW w:type="dxa" w:w="19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217</w:t>
            </w:r>
          </w:p>
        </w:tc>
        <w:tc>
          <w:tcPr>
            <w:tcW w:type="dxa" w:w="19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43,520</w:t>
            </w:r>
          </w:p>
        </w:tc>
      </w:tr>
      <w:tr>
        <w:trPr>
          <w:cantSplit/>
        </w:trPr>
        <w:tc>
          <w:tcPr>
            <w:tcW w:type="dxa" w:w="18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1000</w:t>
            </w:r>
          </w:p>
        </w:tc>
        <w:tc>
          <w:tcPr>
            <w:tcW w:type="dxa" w:w="18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2622</w:t>
            </w:r>
          </w:p>
        </w:tc>
        <w:tc>
          <w:tcPr>
            <w:tcW w:type="dxa" w:w="19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2931</w:t>
            </w:r>
          </w:p>
        </w:tc>
        <w:tc>
          <w:tcPr>
            <w:tcW w:type="dxa" w:w="19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217</w:t>
            </w:r>
          </w:p>
        </w:tc>
        <w:tc>
          <w:tcPr>
            <w:tcW w:type="dxa" w:w="19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86,851</w:t>
            </w:r>
          </w:p>
        </w:tc>
      </w:tr>
    </w:tbl>
    <w:p>
      <w:r>
        <w:br w:type="page"/>
      </w:r>
    </w:p>
    <w:p>
      <w:pPr>
        <w:pStyle w:val="Heading1"/>
      </w:pPr>
      <w:r>
        <w:t xml:space="preserve">4. Speed</w:t>
      </w:r>
    </w:p>
    <w:p>
      <w:pPr>
        <w:spacing w:after="140" w:line="288"/>
      </w:pPr>
      <w:r>
        <w:rPr>
          <w:rFonts w:ascii="Calibri" w:cs="Calibri" w:eastAsia="Calibri" w:hAnsi="Calibri"/>
          <w:color w:val="0C0E13"/>
          <w:sz w:val="22"/>
          <w:szCs w:val="22"/>
        </w:rPr>
        <w:t xml:space="preserve">Median of 5 runs per cell; each run is a fresh Python process, so every number includes about 40 ms of interpreter startup.</w:t>
      </w:r>
    </w:p>
    <w:p>
      <w:pPr>
        <w:keepNext/>
        <w:spacing w:after="60" w:before="120"/>
        <w:jc w:val="center"/>
      </w:pPr>
      <w:r>
        <w:drawing>
          <wp:inline distT="0" distB="0" distL="0" distR="0">
            <wp:extent cx="4953000" cy="2324100"/>
            <wp:effectExtent t="0" r="0" b="0" l="0"/>
            <wp:docPr id="5" name="speed.png" descr="Figure 5. resume --check latency by repository size and number of uncommitted files." title="Figure 5. resume --check latency by repository size and number of uncommitted f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953000" cy="2324100"/>
                    </a:xfrm>
                    <a:prstGeom prst="rect">
                      <a:avLst/>
                    </a:prstGeom>
                  </pic:spPr>
                </pic:pic>
              </a:graphicData>
            </a:graphic>
          </wp:inline>
        </w:drawing>
      </w:r>
    </w:p>
    <w:p>
      <w:pPr>
        <w:spacing w:after="220" w:line="288"/>
        <w:jc w:val="center"/>
      </w:pPr>
      <w:r>
        <w:rPr>
          <w:rFonts w:ascii="Calibri" w:cs="Calibri" w:eastAsia="Calibri" w:hAnsi="Calibri"/>
          <w:i/>
          <w:iCs/>
          <w:color w:val="666B78"/>
          <w:sz w:val="18"/>
          <w:szCs w:val="18"/>
        </w:rPr>
        <w:t xml:space="preserve">Figure 5. resume --check latency by repository size and number of uncommitted files.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1400"/>
        <w:gridCol w:w="1300"/>
        <w:gridCol w:w="1200"/>
        <w:gridCol w:w="1700"/>
        <w:gridCol w:w="1100"/>
        <w:gridCol w:w="1360"/>
      </w:tblGrid>
      <w:tr>
        <w:trPr>
          <w:cantSplit/>
          <w:tblHeader/>
        </w:trPr>
        <w:tc>
          <w:tcPr>
            <w:tcW w:type="dxa" w:w="130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Files</w:t>
            </w:r>
          </w:p>
        </w:tc>
        <w:tc>
          <w:tcPr>
            <w:tcW w:type="dxa" w:w="140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Uncommitted</w:t>
            </w:r>
          </w:p>
        </w:tc>
        <w:tc>
          <w:tcPr>
            <w:tcW w:type="dxa" w:w="130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git status</w:t>
            </w:r>
          </w:p>
        </w:tc>
        <w:tc>
          <w:tcPr>
            <w:tcW w:type="dxa" w:w="120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save</w:t>
            </w:r>
          </w:p>
        </w:tc>
        <w:tc>
          <w:tcPr>
            <w:tcW w:type="dxa" w:w="170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resume --check</w:t>
            </w:r>
          </w:p>
        </w:tc>
        <w:tc>
          <w:tcPr>
            <w:tcW w:type="dxa" w:w="110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drift</w:t>
            </w:r>
          </w:p>
        </w:tc>
        <w:tc>
          <w:tcPr>
            <w:tcW w:type="dxa" w:w="136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run overhead</w:t>
            </w:r>
          </w:p>
        </w:tc>
      </w:tr>
      <w:tr>
        <w:trPr>
          <w:cantSplit/>
        </w:trPr>
        <w:tc>
          <w:tcPr>
            <w:tcW w:type="dxa" w:w="1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200</w:t>
            </w:r>
          </w:p>
        </w:tc>
        <w:tc>
          <w:tcPr>
            <w:tcW w:type="dxa" w:w="14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0</w:t>
            </w:r>
          </w:p>
        </w:tc>
        <w:tc>
          <w:tcPr>
            <w:tcW w:type="dxa" w:w="1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15 ms</w:t>
            </w:r>
          </w:p>
        </w:tc>
        <w:tc>
          <w:tcPr>
            <w:tcW w:type="dxa" w:w="1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138 ms</w:t>
            </w:r>
          </w:p>
        </w:tc>
        <w:tc>
          <w:tcPr>
            <w:tcW w:type="dxa" w:w="17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77 ms</w:t>
            </w:r>
          </w:p>
        </w:tc>
        <w:tc>
          <w:tcPr>
            <w:tcW w:type="dxa" w:w="11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76 ms</w:t>
            </w:r>
          </w:p>
        </w:tc>
        <w:tc>
          <w:tcPr>
            <w:tcW w:type="dxa" w:w="13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94 ms</w:t>
            </w:r>
          </w:p>
        </w:tc>
      </w:tr>
      <w:tr>
        <w:trPr>
          <w:cantSplit/>
        </w:trPr>
        <w:tc>
          <w:tcPr>
            <w:tcW w:type="dxa" w:w="1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200</w:t>
            </w:r>
          </w:p>
        </w:tc>
        <w:tc>
          <w:tcPr>
            <w:tcW w:type="dxa" w:w="14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50</w:t>
            </w:r>
          </w:p>
        </w:tc>
        <w:tc>
          <w:tcPr>
            <w:tcW w:type="dxa" w:w="1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11 ms</w:t>
            </w:r>
          </w:p>
        </w:tc>
        <w:tc>
          <w:tcPr>
            <w:tcW w:type="dxa" w:w="1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148 ms</w:t>
            </w:r>
          </w:p>
        </w:tc>
        <w:tc>
          <w:tcPr>
            <w:tcW w:type="dxa" w:w="17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79 ms</w:t>
            </w:r>
          </w:p>
        </w:tc>
        <w:tc>
          <w:tcPr>
            <w:tcW w:type="dxa" w:w="11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79 ms</w:t>
            </w:r>
          </w:p>
        </w:tc>
        <w:tc>
          <w:tcPr>
            <w:tcW w:type="dxa" w:w="13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103 ms</w:t>
            </w:r>
          </w:p>
        </w:tc>
      </w:tr>
      <w:tr>
        <w:trPr>
          <w:cantSplit/>
        </w:trPr>
        <w:tc>
          <w:tcPr>
            <w:tcW w:type="dxa" w:w="1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2,000</w:t>
            </w:r>
          </w:p>
        </w:tc>
        <w:tc>
          <w:tcPr>
            <w:tcW w:type="dxa" w:w="14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0</w:t>
            </w:r>
          </w:p>
        </w:tc>
        <w:tc>
          <w:tcPr>
            <w:tcW w:type="dxa" w:w="1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13 ms</w:t>
            </w:r>
          </w:p>
        </w:tc>
        <w:tc>
          <w:tcPr>
            <w:tcW w:type="dxa" w:w="1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143 ms</w:t>
            </w:r>
          </w:p>
        </w:tc>
        <w:tc>
          <w:tcPr>
            <w:tcW w:type="dxa" w:w="17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78 ms</w:t>
            </w:r>
          </w:p>
        </w:tc>
        <w:tc>
          <w:tcPr>
            <w:tcW w:type="dxa" w:w="11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78 ms</w:t>
            </w:r>
          </w:p>
        </w:tc>
        <w:tc>
          <w:tcPr>
            <w:tcW w:type="dxa" w:w="13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98 ms</w:t>
            </w:r>
          </w:p>
        </w:tc>
      </w:tr>
      <w:tr>
        <w:trPr>
          <w:cantSplit/>
        </w:trPr>
        <w:tc>
          <w:tcPr>
            <w:tcW w:type="dxa" w:w="1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2,000</w:t>
            </w:r>
          </w:p>
        </w:tc>
        <w:tc>
          <w:tcPr>
            <w:tcW w:type="dxa" w:w="14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50</w:t>
            </w:r>
          </w:p>
        </w:tc>
        <w:tc>
          <w:tcPr>
            <w:tcW w:type="dxa" w:w="1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13 ms</w:t>
            </w:r>
          </w:p>
        </w:tc>
        <w:tc>
          <w:tcPr>
            <w:tcW w:type="dxa" w:w="1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152 ms</w:t>
            </w:r>
          </w:p>
        </w:tc>
        <w:tc>
          <w:tcPr>
            <w:tcW w:type="dxa" w:w="17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83 ms</w:t>
            </w:r>
          </w:p>
        </w:tc>
        <w:tc>
          <w:tcPr>
            <w:tcW w:type="dxa" w:w="11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80 ms</w:t>
            </w:r>
          </w:p>
        </w:tc>
        <w:tc>
          <w:tcPr>
            <w:tcW w:type="dxa" w:w="13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103 ms</w:t>
            </w:r>
          </w:p>
        </w:tc>
      </w:tr>
      <w:tr>
        <w:trPr>
          <w:cantSplit/>
        </w:trPr>
        <w:tc>
          <w:tcPr>
            <w:tcW w:type="dxa" w:w="1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2,000</w:t>
            </w:r>
          </w:p>
        </w:tc>
        <w:tc>
          <w:tcPr>
            <w:tcW w:type="dxa" w:w="14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500</w:t>
            </w:r>
          </w:p>
        </w:tc>
        <w:tc>
          <w:tcPr>
            <w:tcW w:type="dxa" w:w="1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14 ms</w:t>
            </w:r>
          </w:p>
        </w:tc>
        <w:tc>
          <w:tcPr>
            <w:tcW w:type="dxa" w:w="1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187 ms</w:t>
            </w:r>
          </w:p>
        </w:tc>
        <w:tc>
          <w:tcPr>
            <w:tcW w:type="dxa" w:w="17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91 ms</w:t>
            </w:r>
          </w:p>
        </w:tc>
        <w:tc>
          <w:tcPr>
            <w:tcW w:type="dxa" w:w="11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92 ms</w:t>
            </w:r>
          </w:p>
        </w:tc>
        <w:tc>
          <w:tcPr>
            <w:tcW w:type="dxa" w:w="13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144 ms</w:t>
            </w:r>
          </w:p>
        </w:tc>
      </w:tr>
      <w:tr>
        <w:trPr>
          <w:cantSplit/>
        </w:trPr>
        <w:tc>
          <w:tcPr>
            <w:tcW w:type="dxa" w:w="1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10,000</w:t>
            </w:r>
          </w:p>
        </w:tc>
        <w:tc>
          <w:tcPr>
            <w:tcW w:type="dxa" w:w="14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0</w:t>
            </w:r>
          </w:p>
        </w:tc>
        <w:tc>
          <w:tcPr>
            <w:tcW w:type="dxa" w:w="1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22 ms</w:t>
            </w:r>
          </w:p>
        </w:tc>
        <w:tc>
          <w:tcPr>
            <w:tcW w:type="dxa" w:w="1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176 ms</w:t>
            </w:r>
          </w:p>
        </w:tc>
        <w:tc>
          <w:tcPr>
            <w:tcW w:type="dxa" w:w="17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95 ms</w:t>
            </w:r>
          </w:p>
        </w:tc>
        <w:tc>
          <w:tcPr>
            <w:tcW w:type="dxa" w:w="11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90 ms</w:t>
            </w:r>
          </w:p>
        </w:tc>
        <w:tc>
          <w:tcPr>
            <w:tcW w:type="dxa" w:w="13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113 ms</w:t>
            </w:r>
          </w:p>
        </w:tc>
      </w:tr>
      <w:tr>
        <w:trPr>
          <w:cantSplit/>
        </w:trPr>
        <w:tc>
          <w:tcPr>
            <w:tcW w:type="dxa" w:w="1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10,000</w:t>
            </w:r>
          </w:p>
        </w:tc>
        <w:tc>
          <w:tcPr>
            <w:tcW w:type="dxa" w:w="14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50</w:t>
            </w:r>
          </w:p>
        </w:tc>
        <w:tc>
          <w:tcPr>
            <w:tcW w:type="dxa" w:w="1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22 ms</w:t>
            </w:r>
          </w:p>
        </w:tc>
        <w:tc>
          <w:tcPr>
            <w:tcW w:type="dxa" w:w="1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179 ms</w:t>
            </w:r>
          </w:p>
        </w:tc>
        <w:tc>
          <w:tcPr>
            <w:tcW w:type="dxa" w:w="17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91 ms</w:t>
            </w:r>
          </w:p>
        </w:tc>
        <w:tc>
          <w:tcPr>
            <w:tcW w:type="dxa" w:w="11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95 ms</w:t>
            </w:r>
          </w:p>
        </w:tc>
        <w:tc>
          <w:tcPr>
            <w:tcW w:type="dxa" w:w="13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120 ms</w:t>
            </w:r>
          </w:p>
        </w:tc>
      </w:tr>
      <w:tr>
        <w:trPr>
          <w:cantSplit/>
        </w:trPr>
        <w:tc>
          <w:tcPr>
            <w:tcW w:type="dxa" w:w="1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10,000</w:t>
            </w:r>
          </w:p>
        </w:tc>
        <w:tc>
          <w:tcPr>
            <w:tcW w:type="dxa" w:w="14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500</w:t>
            </w:r>
          </w:p>
        </w:tc>
        <w:tc>
          <w:tcPr>
            <w:tcW w:type="dxa" w:w="1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23 ms</w:t>
            </w:r>
          </w:p>
        </w:tc>
        <w:tc>
          <w:tcPr>
            <w:tcW w:type="dxa" w:w="1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265 ms</w:t>
            </w:r>
          </w:p>
        </w:tc>
        <w:tc>
          <w:tcPr>
            <w:tcW w:type="dxa" w:w="17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143 ms</w:t>
            </w:r>
          </w:p>
        </w:tc>
        <w:tc>
          <w:tcPr>
            <w:tcW w:type="dxa" w:w="11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128 ms</w:t>
            </w:r>
          </w:p>
        </w:tc>
        <w:tc>
          <w:tcPr>
            <w:tcW w:type="dxa" w:w="13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192 ms</w:t>
            </w:r>
          </w:p>
        </w:tc>
      </w:tr>
    </w:tbl>
    <w:p>
      <w:pP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rPr>
          <w:cantSplit/>
          <w:tblHeader/>
        </w:trPr>
        <w:tc>
          <w:tcPr>
            <w:tcW w:type="dxa" w:w="320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Operation</w:t>
            </w:r>
          </w:p>
        </w:tc>
        <w:tc>
          <w:tcPr>
            <w:tcW w:type="dxa" w:w="616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Result</w:t>
            </w:r>
          </w:p>
        </w:tc>
      </w:tr>
      <w:tr>
        <w:trPr>
          <w:cantSplit/>
        </w:trPr>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export / import</w:t>
            </w:r>
          </w:p>
        </w:tc>
        <w:tc>
          <w:tcPr>
            <w:tcW w:type="dxa" w:w="61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84 ms / 98 ms with 500 work items (88,474 bytes)</w:t>
            </w:r>
          </w:p>
        </w:tc>
      </w:tr>
      <w:tr>
        <w:trPr>
          <w:cantSplit/>
        </w:trPr>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Secret scan throughput</w:t>
            </w:r>
          </w:p>
        </w:tc>
        <w:tc>
          <w:tcPr>
            <w:tcW w:type="dxa" w:w="61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about 3.9 MB/s</w:t>
            </w:r>
          </w:p>
        </w:tc>
      </w:tr>
      <w:tr>
        <w:trPr>
          <w:cantSplit/>
        </w:trPr>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CLI start (installed wheel)</w:t>
            </w:r>
          </w:p>
        </w:tc>
        <w:tc>
          <w:tcPr>
            <w:tcW w:type="dxa" w:w="61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37 ms</w:t>
            </w:r>
          </w:p>
        </w:tc>
      </w:tr>
    </w:tbl>
    <w:p>
      <w:r>
        <w:br w:type="page"/>
      </w:r>
    </w:p>
    <w:p>
      <w:pPr>
        <w:pStyle w:val="Heading1"/>
      </w:pPr>
      <w:r>
        <w:t xml:space="preserve">5. Secret scanner</w:t>
      </w:r>
    </w:p>
    <w:p>
      <w:pPr>
        <w:spacing w:after="140" w:line="288"/>
      </w:pPr>
      <w:r>
        <w:rPr>
          <w:rFonts w:ascii="Calibri" w:cs="Calibri" w:eastAsia="Calibri" w:hAnsi="Calibri"/>
          <w:color w:val="0C0E13"/>
          <w:sz w:val="22"/>
          <w:szCs w:val="22"/>
        </w:rPr>
        <w:t xml:space="preserve">1,000 synthetic fake secrets per format. None are real credentials; they are random strings in each vendor's format.</w:t>
      </w:r>
    </w:p>
    <w:p>
      <w:pPr>
        <w:pStyle w:val="Heading2"/>
      </w:pPr>
      <w:r>
        <w:t xml:space="preserve">Formats with dedicated patterns (31)</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400"/>
        <w:gridCol w:w="2200"/>
        <w:gridCol w:w="2760"/>
      </w:tblGrid>
      <w:tr>
        <w:trPr>
          <w:cantSplit/>
          <w:tblHeader/>
        </w:trPr>
        <w:tc>
          <w:tcPr>
            <w:tcW w:type="dxa" w:w="440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Format</w:t>
            </w:r>
          </w:p>
        </w:tc>
        <w:tc>
          <w:tcPr>
            <w:tcW w:type="dxa" w:w="220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Recall</w:t>
            </w:r>
          </w:p>
        </w:tc>
        <w:tc>
          <w:tcPr>
            <w:tcW w:type="dxa" w:w="276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Redaction clean</w:t>
            </w:r>
          </w:p>
        </w:tc>
      </w:tr>
      <w:tr>
        <w:trPr>
          <w:cantSplit/>
        </w:trPr>
        <w:tc>
          <w:tcPr>
            <w:tcW w:type="dxa" w:w="44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aws access key</w:t>
            </w:r>
          </w:p>
        </w:tc>
        <w:tc>
          <w:tcPr>
            <w:tcW w:type="dxa" w:w="2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c>
          <w:tcPr>
            <w:tcW w:type="dxa" w:w="27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r>
      <w:tr>
        <w:trPr>
          <w:cantSplit/>
        </w:trPr>
        <w:tc>
          <w:tcPr>
            <w:tcW w:type="dxa" w:w="44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aws temp key</w:t>
            </w:r>
          </w:p>
        </w:tc>
        <w:tc>
          <w:tcPr>
            <w:tcW w:type="dxa" w:w="2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c>
          <w:tcPr>
            <w:tcW w:type="dxa" w:w="27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r>
      <w:tr>
        <w:trPr>
          <w:cantSplit/>
        </w:trPr>
        <w:tc>
          <w:tcPr>
            <w:tcW w:type="dxa" w:w="44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github pat classic</w:t>
            </w:r>
          </w:p>
        </w:tc>
        <w:tc>
          <w:tcPr>
            <w:tcW w:type="dxa" w:w="2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c>
          <w:tcPr>
            <w:tcW w:type="dxa" w:w="27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r>
      <w:tr>
        <w:trPr>
          <w:cantSplit/>
        </w:trPr>
        <w:tc>
          <w:tcPr>
            <w:tcW w:type="dxa" w:w="44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github oauth</w:t>
            </w:r>
          </w:p>
        </w:tc>
        <w:tc>
          <w:tcPr>
            <w:tcW w:type="dxa" w:w="2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c>
          <w:tcPr>
            <w:tcW w:type="dxa" w:w="27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r>
      <w:tr>
        <w:trPr>
          <w:cantSplit/>
        </w:trPr>
        <w:tc>
          <w:tcPr>
            <w:tcW w:type="dxa" w:w="44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github fine grained</w:t>
            </w:r>
          </w:p>
        </w:tc>
        <w:tc>
          <w:tcPr>
            <w:tcW w:type="dxa" w:w="2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c>
          <w:tcPr>
            <w:tcW w:type="dxa" w:w="27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r>
      <w:tr>
        <w:trPr>
          <w:cantSplit/>
        </w:trPr>
        <w:tc>
          <w:tcPr>
            <w:tcW w:type="dxa" w:w="44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slack bot</w:t>
            </w:r>
          </w:p>
        </w:tc>
        <w:tc>
          <w:tcPr>
            <w:tcW w:type="dxa" w:w="2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c>
          <w:tcPr>
            <w:tcW w:type="dxa" w:w="27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r>
      <w:tr>
        <w:trPr>
          <w:cantSplit/>
        </w:trPr>
        <w:tc>
          <w:tcPr>
            <w:tcW w:type="dxa" w:w="44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google api</w:t>
            </w:r>
          </w:p>
        </w:tc>
        <w:tc>
          <w:tcPr>
            <w:tcW w:type="dxa" w:w="2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c>
          <w:tcPr>
            <w:tcW w:type="dxa" w:w="27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r>
      <w:tr>
        <w:trPr>
          <w:cantSplit/>
        </w:trPr>
        <w:tc>
          <w:tcPr>
            <w:tcW w:type="dxa" w:w="44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openai sk</w:t>
            </w:r>
          </w:p>
        </w:tc>
        <w:tc>
          <w:tcPr>
            <w:tcW w:type="dxa" w:w="2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c>
          <w:tcPr>
            <w:tcW w:type="dxa" w:w="27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r>
      <w:tr>
        <w:trPr>
          <w:cantSplit/>
        </w:trPr>
        <w:tc>
          <w:tcPr>
            <w:tcW w:type="dxa" w:w="44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anthropic sk</w:t>
            </w:r>
          </w:p>
        </w:tc>
        <w:tc>
          <w:tcPr>
            <w:tcW w:type="dxa" w:w="2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c>
          <w:tcPr>
            <w:tcW w:type="dxa" w:w="27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r>
      <w:tr>
        <w:trPr>
          <w:cantSplit/>
        </w:trPr>
        <w:tc>
          <w:tcPr>
            <w:tcW w:type="dxa" w:w="44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stripe live</w:t>
            </w:r>
          </w:p>
        </w:tc>
        <w:tc>
          <w:tcPr>
            <w:tcW w:type="dxa" w:w="2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c>
          <w:tcPr>
            <w:tcW w:type="dxa" w:w="27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r>
      <w:tr>
        <w:trPr>
          <w:cantSplit/>
        </w:trPr>
        <w:tc>
          <w:tcPr>
            <w:tcW w:type="dxa" w:w="44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stripe test</w:t>
            </w:r>
          </w:p>
        </w:tc>
        <w:tc>
          <w:tcPr>
            <w:tcW w:type="dxa" w:w="2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c>
          <w:tcPr>
            <w:tcW w:type="dxa" w:w="27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r>
      <w:tr>
        <w:trPr>
          <w:cantSplit/>
        </w:trPr>
        <w:tc>
          <w:tcPr>
            <w:tcW w:type="dxa" w:w="44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stripe restricted</w:t>
            </w:r>
          </w:p>
        </w:tc>
        <w:tc>
          <w:tcPr>
            <w:tcW w:type="dxa" w:w="2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c>
          <w:tcPr>
            <w:tcW w:type="dxa" w:w="27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r>
      <w:tr>
        <w:trPr>
          <w:cantSplit/>
        </w:trPr>
        <w:tc>
          <w:tcPr>
            <w:tcW w:type="dxa" w:w="44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sendgrid</w:t>
            </w:r>
          </w:p>
        </w:tc>
        <w:tc>
          <w:tcPr>
            <w:tcW w:type="dxa" w:w="2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c>
          <w:tcPr>
            <w:tcW w:type="dxa" w:w="27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r>
      <w:tr>
        <w:trPr>
          <w:cantSplit/>
        </w:trPr>
        <w:tc>
          <w:tcPr>
            <w:tcW w:type="dxa" w:w="44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npm</w:t>
            </w:r>
          </w:p>
        </w:tc>
        <w:tc>
          <w:tcPr>
            <w:tcW w:type="dxa" w:w="2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c>
          <w:tcPr>
            <w:tcW w:type="dxa" w:w="27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r>
      <w:tr>
        <w:trPr>
          <w:cantSplit/>
        </w:trPr>
        <w:tc>
          <w:tcPr>
            <w:tcW w:type="dxa" w:w="44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twilio</w:t>
            </w:r>
          </w:p>
        </w:tc>
        <w:tc>
          <w:tcPr>
            <w:tcW w:type="dxa" w:w="2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c>
          <w:tcPr>
            <w:tcW w:type="dxa" w:w="27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r>
      <w:tr>
        <w:trPr>
          <w:cantSplit/>
        </w:trPr>
        <w:tc>
          <w:tcPr>
            <w:tcW w:type="dxa" w:w="44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jwt</w:t>
            </w:r>
          </w:p>
        </w:tc>
        <w:tc>
          <w:tcPr>
            <w:tcW w:type="dxa" w:w="2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c>
          <w:tcPr>
            <w:tcW w:type="dxa" w:w="27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r>
      <w:tr>
        <w:trPr>
          <w:cantSplit/>
        </w:trPr>
        <w:tc>
          <w:tcPr>
            <w:tcW w:type="dxa" w:w="44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pem rsa</w:t>
            </w:r>
          </w:p>
        </w:tc>
        <w:tc>
          <w:tcPr>
            <w:tcW w:type="dxa" w:w="2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c>
          <w:tcPr>
            <w:tcW w:type="dxa" w:w="27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r>
      <w:tr>
        <w:trPr>
          <w:cantSplit/>
        </w:trPr>
        <w:tc>
          <w:tcPr>
            <w:tcW w:type="dxa" w:w="44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pem openssh</w:t>
            </w:r>
          </w:p>
        </w:tc>
        <w:tc>
          <w:tcPr>
            <w:tcW w:type="dxa" w:w="2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c>
          <w:tcPr>
            <w:tcW w:type="dxa" w:w="27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r>
      <w:tr>
        <w:trPr>
          <w:cantSplit/>
        </w:trPr>
        <w:tc>
          <w:tcPr>
            <w:tcW w:type="dxa" w:w="44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gitlab pat</w:t>
            </w:r>
          </w:p>
        </w:tc>
        <w:tc>
          <w:tcPr>
            <w:tcW w:type="dxa" w:w="2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c>
          <w:tcPr>
            <w:tcW w:type="dxa" w:w="27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r>
      <w:tr>
        <w:trPr>
          <w:cantSplit/>
        </w:trPr>
        <w:tc>
          <w:tcPr>
            <w:tcW w:type="dxa" w:w="44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huggingface</w:t>
            </w:r>
          </w:p>
        </w:tc>
        <w:tc>
          <w:tcPr>
            <w:tcW w:type="dxa" w:w="2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c>
          <w:tcPr>
            <w:tcW w:type="dxa" w:w="27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r>
      <w:tr>
        <w:trPr>
          <w:cantSplit/>
        </w:trPr>
        <w:tc>
          <w:tcPr>
            <w:tcW w:type="dxa" w:w="44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pypi token</w:t>
            </w:r>
          </w:p>
        </w:tc>
        <w:tc>
          <w:tcPr>
            <w:tcW w:type="dxa" w:w="2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c>
          <w:tcPr>
            <w:tcW w:type="dxa" w:w="27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r>
      <w:tr>
        <w:trPr>
          <w:cantSplit/>
        </w:trPr>
        <w:tc>
          <w:tcPr>
            <w:tcW w:type="dxa" w:w="44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digitalocean</w:t>
            </w:r>
          </w:p>
        </w:tc>
        <w:tc>
          <w:tcPr>
            <w:tcW w:type="dxa" w:w="2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c>
          <w:tcPr>
            <w:tcW w:type="dxa" w:w="27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r>
      <w:tr>
        <w:trPr>
          <w:cantSplit/>
        </w:trPr>
        <w:tc>
          <w:tcPr>
            <w:tcW w:type="dxa" w:w="44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shopify</w:t>
            </w:r>
          </w:p>
        </w:tc>
        <w:tc>
          <w:tcPr>
            <w:tcW w:type="dxa" w:w="2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c>
          <w:tcPr>
            <w:tcW w:type="dxa" w:w="27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r>
      <w:tr>
        <w:trPr>
          <w:cantSplit/>
        </w:trPr>
        <w:tc>
          <w:tcPr>
            <w:tcW w:type="dxa" w:w="44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mailchimp</w:t>
            </w:r>
          </w:p>
        </w:tc>
        <w:tc>
          <w:tcPr>
            <w:tcW w:type="dxa" w:w="2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c>
          <w:tcPr>
            <w:tcW w:type="dxa" w:w="27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r>
      <w:tr>
        <w:trPr>
          <w:cantSplit/>
        </w:trPr>
        <w:tc>
          <w:tcPr>
            <w:tcW w:type="dxa" w:w="44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telegram bot</w:t>
            </w:r>
          </w:p>
        </w:tc>
        <w:tc>
          <w:tcPr>
            <w:tcW w:type="dxa" w:w="2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c>
          <w:tcPr>
            <w:tcW w:type="dxa" w:w="27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r>
      <w:tr>
        <w:trPr>
          <w:cantSplit/>
        </w:trPr>
        <w:tc>
          <w:tcPr>
            <w:tcW w:type="dxa" w:w="44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azure account key</w:t>
            </w:r>
          </w:p>
        </w:tc>
        <w:tc>
          <w:tcPr>
            <w:tcW w:type="dxa" w:w="2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c>
          <w:tcPr>
            <w:tcW w:type="dxa" w:w="27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r>
      <w:tr>
        <w:trPr>
          <w:cantSplit/>
        </w:trPr>
        <w:tc>
          <w:tcPr>
            <w:tcW w:type="dxa" w:w="44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db url password</w:t>
            </w:r>
          </w:p>
        </w:tc>
        <w:tc>
          <w:tcPr>
            <w:tcW w:type="dxa" w:w="2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c>
          <w:tcPr>
            <w:tcW w:type="dxa" w:w="27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r>
      <w:tr>
        <w:trPr>
          <w:cantSplit/>
        </w:trPr>
        <w:tc>
          <w:tcPr>
            <w:tcW w:type="dxa" w:w="44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mongodb srv</w:t>
            </w:r>
          </w:p>
        </w:tc>
        <w:tc>
          <w:tcPr>
            <w:tcW w:type="dxa" w:w="2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c>
          <w:tcPr>
            <w:tcW w:type="dxa" w:w="27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r>
      <w:tr>
        <w:trPr>
          <w:cantSplit/>
        </w:trPr>
        <w:tc>
          <w:tcPr>
            <w:tcW w:type="dxa" w:w="44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password assign</w:t>
            </w:r>
          </w:p>
        </w:tc>
        <w:tc>
          <w:tcPr>
            <w:tcW w:type="dxa" w:w="2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c>
          <w:tcPr>
            <w:tcW w:type="dxa" w:w="27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r>
      <w:tr>
        <w:trPr>
          <w:cantSplit/>
        </w:trPr>
        <w:tc>
          <w:tcPr>
            <w:tcW w:type="dxa" w:w="44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api key json</w:t>
            </w:r>
          </w:p>
        </w:tc>
        <w:tc>
          <w:tcPr>
            <w:tcW w:type="dxa" w:w="2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c>
          <w:tcPr>
            <w:tcW w:type="dxa" w:w="27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r>
      <w:tr>
        <w:trPr>
          <w:cantSplit/>
        </w:trPr>
        <w:tc>
          <w:tcPr>
            <w:tcW w:type="dxa" w:w="44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token env</w:t>
            </w:r>
          </w:p>
        </w:tc>
        <w:tc>
          <w:tcPr>
            <w:tcW w:type="dxa" w:w="2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99%</w:t>
            </w:r>
          </w:p>
        </w:tc>
        <w:tc>
          <w:tcPr>
            <w:tcW w:type="dxa" w:w="27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100%</w:t>
            </w:r>
          </w:p>
        </w:tc>
      </w:tr>
    </w:tbl>
    <w:p>
      <w:pPr>
        <w:spacing w:after="160"/>
      </w:pPr>
    </w:p>
    <w:p>
      <w:pPr>
        <w:pStyle w:val="Heading2"/>
      </w:pPr>
      <w:r>
        <w:t xml:space="preserve">Formats with no pattern (5)</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600"/>
        <w:gridCol w:w="2760"/>
      </w:tblGrid>
      <w:tr>
        <w:trPr>
          <w:cantSplit/>
          <w:tblHeader/>
        </w:trPr>
        <w:tc>
          <w:tcPr>
            <w:tcW w:type="dxa" w:w="660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Format</w:t>
            </w:r>
          </w:p>
        </w:tc>
        <w:tc>
          <w:tcPr>
            <w:tcW w:type="dxa" w:w="276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Recall</w:t>
            </w:r>
          </w:p>
        </w:tc>
      </w:tr>
      <w:tr>
        <w:trPr>
          <w:cantSplit/>
        </w:trPr>
        <w:tc>
          <w:tcPr>
            <w:tcW w:type="dxa" w:w="66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high entropy hex 32</w:t>
            </w:r>
          </w:p>
        </w:tc>
        <w:tc>
          <w:tcPr>
            <w:tcW w:type="dxa" w:w="27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0%</w:t>
            </w:r>
          </w:p>
        </w:tc>
      </w:tr>
      <w:tr>
        <w:trPr>
          <w:cantSplit/>
        </w:trPr>
        <w:tc>
          <w:tcPr>
            <w:tcW w:type="dxa" w:w="66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high entropy base64 44</w:t>
            </w:r>
          </w:p>
        </w:tc>
        <w:tc>
          <w:tcPr>
            <w:tcW w:type="dxa" w:w="27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0%</w:t>
            </w:r>
          </w:p>
        </w:tc>
      </w:tr>
      <w:tr>
        <w:trPr>
          <w:cantSplit/>
        </w:trPr>
        <w:tc>
          <w:tcPr>
            <w:tcW w:type="dxa" w:w="66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gcp service account private key id</w:t>
            </w:r>
          </w:p>
        </w:tc>
        <w:tc>
          <w:tcPr>
            <w:tcW w:type="dxa" w:w="27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0%</w:t>
            </w:r>
          </w:p>
        </w:tc>
      </w:tr>
      <w:tr>
        <w:trPr>
          <w:cantSplit/>
        </w:trPr>
        <w:tc>
          <w:tcPr>
            <w:tcW w:type="dxa" w:w="66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short password 7</w:t>
            </w:r>
          </w:p>
        </w:tc>
        <w:tc>
          <w:tcPr>
            <w:tcW w:type="dxa" w:w="27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0%</w:t>
            </w:r>
          </w:p>
        </w:tc>
      </w:tr>
      <w:tr>
        <w:trPr>
          <w:cantSplit/>
        </w:trPr>
        <w:tc>
          <w:tcPr>
            <w:tcW w:type="dxa" w:w="66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heroku api key uuid</w:t>
            </w:r>
          </w:p>
        </w:tc>
        <w:tc>
          <w:tcPr>
            <w:tcW w:type="dxa" w:w="27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0%</w:t>
            </w:r>
          </w:p>
        </w:tc>
      </w:tr>
    </w:tbl>
    <w:p>
      <w:pPr>
        <w:spacing w:after="200" w:line="288"/>
      </w:pPr>
      <w:r>
        <w:rPr>
          <w:rFonts w:ascii="Calibri" w:cs="Calibri" w:eastAsia="Calibri" w:hAnsi="Calibri"/>
          <w:color w:val="666B78"/>
          <w:sz w:val="20"/>
          <w:szCs w:val="20"/>
        </w:rPr>
        <w:t xml:space="preserve">Random hex and base64 strings and short passwords are deliberately not flagged: doing so would flag hashes, IDs and placeholders. The scanner is best-effort. Remaining hits on code are mostly test fixtures with literal passwords and very long minified lines.</w:t>
      </w:r>
    </w:p>
    <w:p>
      <w:pPr>
        <w:pStyle w:val="Heading2"/>
      </w:pPr>
      <w:r>
        <w:t xml:space="preserve">False positives on real code</w:t>
      </w:r>
    </w:p>
    <w:p>
      <w:pPr>
        <w:keepNext/>
        <w:spacing w:after="60" w:before="120"/>
        <w:jc w:val="center"/>
      </w:pPr>
      <w:r>
        <w:drawing>
          <wp:inline distT="0" distB="0" distL="0" distR="0">
            <wp:extent cx="4191000" cy="1685925"/>
            <wp:effectExtent t="0" r="0" b="0" l="0"/>
            <wp:docPr id="6" name="scanner_fp.png" descr="Figure 6. Lines flagged per million lines scanned." title="Figure 6. Lines flagged per million lines scan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191000" cy="1685925"/>
                    </a:xfrm>
                    <a:prstGeom prst="rect">
                      <a:avLst/>
                    </a:prstGeom>
                  </pic:spPr>
                </pic:pic>
              </a:graphicData>
            </a:graphic>
          </wp:inline>
        </w:drawing>
      </w:r>
    </w:p>
    <w:p>
      <w:pPr>
        <w:spacing w:after="220" w:line="288"/>
        <w:jc w:val="center"/>
      </w:pPr>
      <w:r>
        <w:rPr>
          <w:rFonts w:ascii="Calibri" w:cs="Calibri" w:eastAsia="Calibri" w:hAnsi="Calibri"/>
          <w:i/>
          <w:iCs/>
          <w:color w:val="666B78"/>
          <w:sz w:val="18"/>
          <w:szCs w:val="18"/>
        </w:rPr>
        <w:t xml:space="preserve">Figure 6. Lines flagged per million lines scanned.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1200"/>
        <w:gridCol w:w="1700"/>
        <w:gridCol w:w="1300"/>
        <w:gridCol w:w="1960"/>
      </w:tblGrid>
      <w:tr>
        <w:trPr>
          <w:cantSplit/>
          <w:tblHeader/>
        </w:trPr>
        <w:tc>
          <w:tcPr>
            <w:tcW w:type="dxa" w:w="320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Corpus</w:t>
            </w:r>
          </w:p>
        </w:tc>
        <w:tc>
          <w:tcPr>
            <w:tcW w:type="dxa" w:w="120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Files</w:t>
            </w:r>
          </w:p>
        </w:tc>
        <w:tc>
          <w:tcPr>
            <w:tcW w:type="dxa" w:w="170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Lines</w:t>
            </w:r>
          </w:p>
        </w:tc>
        <w:tc>
          <w:tcPr>
            <w:tcW w:type="dxa" w:w="130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Flagged</w:t>
            </w:r>
          </w:p>
        </w:tc>
        <w:tc>
          <w:tcPr>
            <w:tcW w:type="dxa" w:w="196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Per million lines</w:t>
            </w:r>
          </w:p>
        </w:tc>
      </w:tr>
      <w:tr>
        <w:trPr>
          <w:cantSplit/>
        </w:trPr>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python stdlib all</w:t>
            </w:r>
          </w:p>
        </w:tc>
        <w:tc>
          <w:tcPr>
            <w:tcW w:type="dxa" w:w="1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1,852</w:t>
            </w:r>
          </w:p>
        </w:tc>
        <w:tc>
          <w:tcPr>
            <w:tcW w:type="dxa" w:w="17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979,577</w:t>
            </w:r>
          </w:p>
        </w:tc>
        <w:tc>
          <w:tcPr>
            <w:tcW w:type="dxa" w:w="1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w:t>
            </w:r>
          </w:p>
        </w:tc>
        <w:tc>
          <w:tcPr>
            <w:tcW w:type="dxa" w:w="19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10.2</w:t>
            </w:r>
          </w:p>
        </w:tc>
      </w:tr>
      <w:tr>
        <w:trPr>
          <w:cantSplit/>
        </w:trPr>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node modules js sample</w:t>
            </w:r>
          </w:p>
        </w:tc>
        <w:tc>
          <w:tcPr>
            <w:tcW w:type="dxa" w:w="1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3,999</w:t>
            </w:r>
          </w:p>
        </w:tc>
        <w:tc>
          <w:tcPr>
            <w:tcW w:type="dxa" w:w="17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758,396</w:t>
            </w:r>
          </w:p>
        </w:tc>
        <w:tc>
          <w:tcPr>
            <w:tcW w:type="dxa" w:w="1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11</w:t>
            </w:r>
          </w:p>
        </w:tc>
        <w:tc>
          <w:tcPr>
            <w:tcW w:type="dxa" w:w="19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14.5</w:t>
            </w:r>
          </w:p>
        </w:tc>
      </w:tr>
      <w:tr>
        <w:trPr>
          <w:cantSplit/>
        </w:trPr>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package lock files</w:t>
            </w:r>
          </w:p>
        </w:tc>
        <w:tc>
          <w:tcPr>
            <w:tcW w:type="dxa" w:w="1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5</w:t>
            </w:r>
          </w:p>
        </w:tc>
        <w:tc>
          <w:tcPr>
            <w:tcW w:type="dxa" w:w="17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47,714</w:t>
            </w:r>
          </w:p>
        </w:tc>
        <w:tc>
          <w:tcPr>
            <w:tcW w:type="dxa" w:w="1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0</w:t>
            </w:r>
          </w:p>
        </w:tc>
        <w:tc>
          <w:tcPr>
            <w:tcW w:type="dxa" w:w="19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0.0</w:t>
            </w:r>
          </w:p>
        </w:tc>
      </w:tr>
      <w:tr>
        <w:trPr>
          <w:cantSplit/>
        </w:trPr>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markdown docs</w:t>
            </w:r>
          </w:p>
        </w:tc>
        <w:tc>
          <w:tcPr>
            <w:tcW w:type="dxa" w:w="1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27</w:t>
            </w:r>
          </w:p>
        </w:tc>
        <w:tc>
          <w:tcPr>
            <w:tcW w:type="dxa" w:w="17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2,105</w:t>
            </w:r>
          </w:p>
        </w:tc>
        <w:tc>
          <w:tcPr>
            <w:tcW w:type="dxa" w:w="1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w:t>
            </w:r>
          </w:p>
        </w:tc>
        <w:tc>
          <w:tcPr>
            <w:tcW w:type="dxa" w:w="19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475.1</w:t>
            </w:r>
          </w:p>
        </w:tc>
      </w:tr>
    </w:tbl>
    <w:p>
      <w:pPr>
        <w:spacing w:after="140" w:line="288"/>
      </w:pPr>
      <w:r>
        <w:rPr>
          <w:rFonts w:ascii="Calibri" w:cs="Calibri" w:eastAsia="Calibri" w:hAnsi="Calibri"/>
          <w:color w:val="666B78"/>
          <w:sz w:val="20"/>
          <w:szCs w:val="20"/>
        </w:rPr>
        <w:t xml:space="preserve">Example of a flagged line: passwd = 'my1pa$$word!'</w:t>
      </w:r>
    </w:p>
    <w:p>
      <w:r>
        <w:br w:type="page"/>
      </w:r>
    </w:p>
    <w:p>
      <w:pPr>
        <w:pStyle w:val="Heading1"/>
      </w:pPr>
      <w:r>
        <w:t xml:space="preserve">6. Reliability and packaging</w:t>
      </w:r>
    </w:p>
    <w:p>
      <w:pPr>
        <w:pStyle w:val="Heading2"/>
      </w:pPr>
      <w:r>
        <w:t xml:space="preserve">Test-suite stability</w:t>
      </w:r>
    </w:p>
    <w:p>
      <w:pPr>
        <w:spacing w:after="140" w:line="288"/>
      </w:pPr>
      <w:r>
        <w:rPr>
          <w:rFonts w:ascii="Calibri" w:cs="Calibri" w:eastAsia="Calibri" w:hAnsi="Calibri"/>
          <w:color w:val="0C0E13"/>
          <w:sz w:val="22"/>
          <w:szCs w:val="22"/>
        </w:rPr>
        <w:t xml:space="preserve">15 of 15 repeated runs passed (36 tests per run, median 12.0 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2200"/>
        <w:gridCol w:w="1800"/>
        <w:gridCol w:w="2360"/>
      </w:tblGrid>
      <w:tr>
        <w:trPr>
          <w:cantSplit/>
          <w:tblHeader/>
        </w:trPr>
        <w:tc>
          <w:tcPr>
            <w:tcW w:type="dxa" w:w="300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Python</w:t>
            </w:r>
          </w:p>
        </w:tc>
        <w:tc>
          <w:tcPr>
            <w:tcW w:type="dxa" w:w="220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Runs passed</w:t>
            </w:r>
          </w:p>
        </w:tc>
        <w:tc>
          <w:tcPr>
            <w:tcW w:type="dxa" w:w="180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Tests</w:t>
            </w:r>
          </w:p>
        </w:tc>
        <w:tc>
          <w:tcPr>
            <w:tcW w:type="dxa" w:w="236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Median time</w:t>
            </w:r>
          </w:p>
        </w:tc>
      </w:tr>
      <w:tr>
        <w:trPr>
          <w:cantSplit/>
        </w:trPr>
        <w:tc>
          <w:tcPr>
            <w:tcW w:type="dxa" w:w="30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Python 3.11.13</w:t>
            </w:r>
          </w:p>
        </w:tc>
        <w:tc>
          <w:tcPr>
            <w:tcW w:type="dxa" w:w="2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3/3</w:t>
            </w:r>
          </w:p>
        </w:tc>
        <w:tc>
          <w:tcPr>
            <w:tcW w:type="dxa" w:w="18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36</w:t>
            </w:r>
          </w:p>
        </w:tc>
        <w:tc>
          <w:tcPr>
            <w:tcW w:type="dxa" w:w="23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10.9 s</w:t>
            </w:r>
          </w:p>
        </w:tc>
      </w:tr>
      <w:tr>
        <w:trPr>
          <w:cantSplit/>
        </w:trPr>
        <w:tc>
          <w:tcPr>
            <w:tcW w:type="dxa" w:w="30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Python 3.14.6</w:t>
            </w:r>
          </w:p>
        </w:tc>
        <w:tc>
          <w:tcPr>
            <w:tcW w:type="dxa" w:w="2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3/3</w:t>
            </w:r>
          </w:p>
        </w:tc>
        <w:tc>
          <w:tcPr>
            <w:tcW w:type="dxa" w:w="18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36</w:t>
            </w:r>
          </w:p>
        </w:tc>
        <w:tc>
          <w:tcPr>
            <w:tcW w:type="dxa" w:w="23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13.0 s</w:t>
            </w:r>
          </w:p>
        </w:tc>
      </w:tr>
    </w:tbl>
    <w:p>
      <w:pPr>
        <w:spacing w:after="160"/>
      </w:pPr>
    </w:p>
    <w:p>
      <w:pPr>
        <w:pStyle w:val="Heading2"/>
      </w:pPr>
      <w:r>
        <w:t xml:space="preserve">Concurrent writers</w:t>
      </w:r>
    </w:p>
    <w:p>
      <w:pPr>
        <w:spacing w:after="140" w:line="288"/>
      </w:pPr>
      <w:r>
        <w:rPr>
          <w:rFonts w:ascii="Calibri" w:cs="Calibri" w:eastAsia="Calibri" w:hAnsi="Calibri"/>
          <w:color w:val="0C0E13"/>
          <w:sz w:val="22"/>
          <w:szCs w:val="22"/>
        </w:rPr>
        <w:t xml:space="preserve">Several processes run "contextbridge run -- true" in the same repository at once. Writers take an exclusive lock around reading and writing the notes, so entries from different processes do not overwrite each other.</w:t>
      </w:r>
    </w:p>
    <w:p>
      <w:pPr>
        <w:keepNext/>
        <w:spacing w:after="60" w:before="120"/>
        <w:jc w:val="center"/>
      </w:pPr>
      <w:r>
        <w:drawing>
          <wp:inline distT="0" distB="0" distL="0" distR="0">
            <wp:extent cx="3810000" cy="1981200"/>
            <wp:effectExtent t="0" r="0" b="0" l="0"/>
            <wp:docPr id="7" name="concurrency.png" descr="Figure 7. Evidence entries executed versus recorded under parallel writers." title="Figure 7. Evidence entries executed versus recorded under parallel wri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810000" cy="1981200"/>
                    </a:xfrm>
                    <a:prstGeom prst="rect">
                      <a:avLst/>
                    </a:prstGeom>
                  </pic:spPr>
                </pic:pic>
              </a:graphicData>
            </a:graphic>
          </wp:inline>
        </w:drawing>
      </w:r>
    </w:p>
    <w:p>
      <w:pPr>
        <w:spacing w:after="220" w:line="288"/>
        <w:jc w:val="center"/>
      </w:pPr>
      <w:r>
        <w:rPr>
          <w:rFonts w:ascii="Calibri" w:cs="Calibri" w:eastAsia="Calibri" w:hAnsi="Calibri"/>
          <w:i/>
          <w:iCs/>
          <w:color w:val="666B78"/>
          <w:sz w:val="18"/>
          <w:szCs w:val="18"/>
        </w:rPr>
        <w:t xml:space="preserve">Figure 7. Evidence entries executed versus recorded under parallel writers.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1300"/>
        <w:gridCol w:w="1500"/>
        <w:gridCol w:w="1500"/>
        <w:gridCol w:w="1200"/>
        <w:gridCol w:w="2560"/>
      </w:tblGrid>
      <w:tr>
        <w:trPr>
          <w:cantSplit/>
          <w:tblHeader/>
        </w:trPr>
        <w:tc>
          <w:tcPr>
            <w:tcW w:type="dxa" w:w="130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Writers</w:t>
            </w:r>
          </w:p>
        </w:tc>
        <w:tc>
          <w:tcPr>
            <w:tcW w:type="dxa" w:w="130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Runs each</w:t>
            </w:r>
          </w:p>
        </w:tc>
        <w:tc>
          <w:tcPr>
            <w:tcW w:type="dxa" w:w="150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Executed</w:t>
            </w:r>
          </w:p>
        </w:tc>
        <w:tc>
          <w:tcPr>
            <w:tcW w:type="dxa" w:w="150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Recorded</w:t>
            </w:r>
          </w:p>
        </w:tc>
        <w:tc>
          <w:tcPr>
            <w:tcW w:type="dxa" w:w="120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Lost</w:t>
            </w:r>
          </w:p>
        </w:tc>
        <w:tc>
          <w:tcPr>
            <w:tcW w:type="dxa" w:w="256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state.json valid</w:t>
            </w:r>
          </w:p>
        </w:tc>
      </w:tr>
      <w:tr>
        <w:trPr>
          <w:cantSplit/>
        </w:trPr>
        <w:tc>
          <w:tcPr>
            <w:tcW w:type="dxa" w:w="1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2</w:t>
            </w:r>
          </w:p>
        </w:tc>
        <w:tc>
          <w:tcPr>
            <w:tcW w:type="dxa" w:w="1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20</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20</w:t>
            </w:r>
          </w:p>
        </w:tc>
        <w:tc>
          <w:tcPr>
            <w:tcW w:type="dxa" w:w="1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0</w:t>
            </w:r>
          </w:p>
        </w:tc>
        <w:tc>
          <w:tcPr>
            <w:tcW w:type="dxa" w:w="25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yes</w:t>
            </w:r>
          </w:p>
        </w:tc>
      </w:tr>
      <w:tr>
        <w:trPr>
          <w:cantSplit/>
        </w:trPr>
        <w:tc>
          <w:tcPr>
            <w:tcW w:type="dxa" w:w="1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4</w:t>
            </w:r>
          </w:p>
        </w:tc>
        <w:tc>
          <w:tcPr>
            <w:tcW w:type="dxa" w:w="1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10</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40</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40</w:t>
            </w:r>
          </w:p>
        </w:tc>
        <w:tc>
          <w:tcPr>
            <w:tcW w:type="dxa" w:w="1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0</w:t>
            </w:r>
          </w:p>
        </w:tc>
        <w:tc>
          <w:tcPr>
            <w:tcW w:type="dxa" w:w="25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yes</w:t>
            </w:r>
          </w:p>
        </w:tc>
      </w:tr>
      <w:tr>
        <w:trPr>
          <w:cantSplit/>
        </w:trPr>
        <w:tc>
          <w:tcPr>
            <w:tcW w:type="dxa" w:w="1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8</w:t>
            </w:r>
          </w:p>
        </w:tc>
        <w:tc>
          <w:tcPr>
            <w:tcW w:type="dxa" w:w="1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5</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40</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40</w:t>
            </w:r>
          </w:p>
        </w:tc>
        <w:tc>
          <w:tcPr>
            <w:tcW w:type="dxa" w:w="1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0</w:t>
            </w:r>
          </w:p>
        </w:tc>
        <w:tc>
          <w:tcPr>
            <w:tcW w:type="dxa" w:w="25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8"/>
                <w:szCs w:val="18"/>
              </w:rPr>
              <w:t xml:space="preserve">yes</w:t>
            </w:r>
          </w:p>
        </w:tc>
      </w:tr>
    </w:tbl>
    <w:p>
      <w:pPr>
        <w:spacing w:after="200" w:line="288"/>
      </w:pPr>
      <w:r>
        <w:rPr>
          <w:rFonts w:ascii="Calibri" w:cs="Calibri" w:eastAsia="Calibri" w:hAnsi="Calibri"/>
          <w:color w:val="666B78"/>
          <w:sz w:val="20"/>
          <w:szCs w:val="20"/>
        </w:rPr>
        <w:t xml:space="preserve">The notes stayed valid JSON in every run, and every executed test run was recorded with a unique id.</w:t>
      </w:r>
    </w:p>
    <w:p>
      <w:pPr>
        <w:pStyle w:val="Heading2"/>
      </w:pPr>
      <w:r>
        <w:t xml:space="preserve">Packaging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rPr>
          <w:cantSplit/>
          <w:tblHeader/>
        </w:trPr>
        <w:tc>
          <w:tcPr>
            <w:tcW w:type="dxa" w:w="320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Check</w:t>
            </w:r>
          </w:p>
        </w:tc>
        <w:tc>
          <w:tcPr>
            <w:tcW w:type="dxa" w:w="616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8"/>
                <w:szCs w:val="18"/>
              </w:rPr>
              <w:t xml:space="preserve">Result</w:t>
            </w:r>
          </w:p>
        </w:tc>
      </w:tr>
      <w:tr>
        <w:trPr>
          <w:cantSplit/>
        </w:trPr>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Wheel / sdist size</w:t>
            </w:r>
          </w:p>
        </w:tc>
        <w:tc>
          <w:tcPr>
            <w:tcW w:type="dxa" w:w="61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25,002 / 35,062 bytes</w:t>
            </w:r>
          </w:p>
        </w:tc>
      </w:tr>
      <w:tr>
        <w:trPr>
          <w:cantSplit/>
        </w:trPr>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Tests excluded from the wheel</w:t>
            </w:r>
          </w:p>
        </w:tc>
        <w:tc>
          <w:tcPr>
            <w:tcW w:type="dxa" w:w="61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true</w:t>
            </w:r>
          </w:p>
        </w:tc>
      </w:tr>
      <w:tr>
        <w:trPr>
          <w:cantSplit/>
        </w:trPr>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Runtime dependencies</w:t>
            </w:r>
          </w:p>
        </w:tc>
        <w:tc>
          <w:tcPr>
            <w:tcW w:type="dxa" w:w="61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0</w:t>
            </w:r>
          </w:p>
        </w:tc>
      </w:tr>
      <w:tr>
        <w:trPr>
          <w:cantSplit/>
        </w:trPr>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Install on Python 3.11.13</w:t>
            </w:r>
          </w:p>
        </w:tc>
        <w:tc>
          <w:tcPr>
            <w:tcW w:type="dxa" w:w="61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ok in 1.0 s; --version 0.3.3; end-to-end smoke test passed</w:t>
            </w:r>
          </w:p>
        </w:tc>
      </w:tr>
      <w:tr>
        <w:trPr>
          <w:cantSplit/>
        </w:trPr>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Install on Python 3.14.6</w:t>
            </w:r>
          </w:p>
        </w:tc>
        <w:tc>
          <w:tcPr>
            <w:tcW w:type="dxa" w:w="61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8"/>
                <w:szCs w:val="18"/>
              </w:rPr>
              <w:t xml:space="preserve">ok in 0.9 s; --version 0.3.3; end-to-end smoke test passed</w:t>
            </w:r>
          </w:p>
        </w:tc>
      </w:tr>
    </w:tbl>
    <w:p>
      <w:pPr>
        <w:pStyle w:val="Heading1"/>
      </w:pPr>
      <w:r>
        <w:t xml:space="preserve">7. Reproduce</w:t>
      </w:r>
    </w:p>
    <w:p>
      <w:pPr>
        <w:spacing w:after="140" w:line="288"/>
      </w:pPr>
      <w:r>
        <w:rPr>
          <w:rFonts w:ascii="Calibri" w:cs="Calibri" w:eastAsia="Calibri" w:hAnsi="Calibri"/>
          <w:color w:val="0C0E13"/>
          <w:sz w:val="22"/>
          <w:szCs w:val="22"/>
        </w:rPr>
        <w:t xml:space="preserve">The harness is in the ContextBridge-Benchmark folder next to the repository (it is not part of the shipped package).</w:t>
      </w:r>
    </w:p>
    <w:p>
      <w:pPr>
        <w:spacing w:after="60"/>
      </w:pPr>
      <w:r>
        <w:rPr>
          <w:rFonts w:ascii="Consolas" w:cs="Consolas" w:eastAsia="Consolas" w:hAnsi="Consolas"/>
          <w:color w:val="0C0E13"/>
          <w:sz w:val="19"/>
          <w:szCs w:val="19"/>
        </w:rPr>
        <w:t xml:space="preserve">python3 bench.py     speed, labeled scenarios, scanner, handoff growth</w:t>
      </w:r>
    </w:p>
    <w:p>
      <w:pPr>
        <w:spacing w:after="60"/>
      </w:pPr>
      <w:r>
        <w:rPr>
          <w:rFonts w:ascii="Consolas" w:cs="Consolas" w:eastAsia="Consolas" w:hAnsi="Consolas"/>
          <w:color w:val="0C0E13"/>
          <w:sz w:val="19"/>
          <w:szCs w:val="19"/>
        </w:rPr>
        <w:t xml:space="preserve">python3 bench2.py    extended scenarios, fuzz, tokens, concurrency, stability, packaging</w:t>
      </w:r>
    </w:p>
    <w:p>
      <w:pPr>
        <w:spacing w:after="60"/>
      </w:pPr>
      <w:r>
        <w:rPr>
          <w:rFonts w:ascii="Consolas" w:cs="Consolas" w:eastAsia="Consolas" w:hAnsi="Consolas"/>
          <w:color w:val="0C0E13"/>
          <w:sz w:val="19"/>
          <w:szCs w:val="19"/>
        </w:rPr>
        <w:t xml:space="preserve">python3 merge.py &amp;&amp; python3 charts.py &amp;&amp; node make_docx.js</w:t>
      </w:r>
    </w:p>
    <w:p>
      <w:r>
        <w:br w:type="page"/>
      </w:r>
    </w:p>
    <w:p>
      <w:pPr>
        <w:pStyle w:val="Heading1"/>
      </w:pPr>
      <w:r>
        <w:t xml:space="preserve">Appendix A. All labeled scenarios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00"/>
        <w:gridCol w:w="3200"/>
        <w:gridCol w:w="1500"/>
        <w:gridCol w:w="1500"/>
        <w:gridCol w:w="860"/>
      </w:tblGrid>
      <w:tr>
        <w:trPr>
          <w:cantSplit/>
          <w:tblHeader/>
        </w:trPr>
        <w:tc>
          <w:tcPr>
            <w:tcW w:type="dxa" w:w="230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5"/>
                <w:szCs w:val="15"/>
              </w:rPr>
              <w:t xml:space="preserve">Scenario</w:t>
            </w:r>
          </w:p>
        </w:tc>
        <w:tc>
          <w:tcPr>
            <w:tcW w:type="dxa" w:w="320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5"/>
                <w:szCs w:val="15"/>
              </w:rPr>
              <w:t xml:space="preserve">Change applied</w:t>
            </w:r>
          </w:p>
        </w:tc>
        <w:tc>
          <w:tcPr>
            <w:tcW w:type="dxa" w:w="150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5"/>
                <w:szCs w:val="15"/>
              </w:rPr>
              <w:t xml:space="preserve">Expected</w:t>
            </w:r>
          </w:p>
        </w:tc>
        <w:tc>
          <w:tcPr>
            <w:tcW w:type="dxa" w:w="150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5"/>
                <w:szCs w:val="15"/>
              </w:rPr>
              <w:t xml:space="preserve">Got</w:t>
            </w:r>
          </w:p>
        </w:tc>
        <w:tc>
          <w:tcPr>
            <w:tcW w:type="dxa" w:w="860"/>
            <w:tcBorders>
              <w:top w:val="single" w:color="D9D5CB" w:sz="4"/>
              <w:left w:val="single" w:color="D9D5CB" w:sz="4"/>
              <w:bottom w:val="single" w:color="D9D5CB" w:sz="4"/>
              <w:right w:val="single" w:color="D9D5CB" w:sz="4"/>
            </w:tcBorders>
            <w:shd w:fill="ECE8DF" w:val="clear"/>
            <w:tcMar>
              <w:top w:type="dxa" w:w="70"/>
              <w:left w:type="dxa" w:w="100"/>
              <w:bottom w:type="dxa" w:w="70"/>
              <w:right w:type="dxa" w:w="100"/>
            </w:tcMar>
          </w:tcPr>
          <w:p>
            <w:pPr>
              <w:spacing w:after="0" w:line="252"/>
            </w:pPr>
            <w:r>
              <w:rPr>
                <w:rFonts w:ascii="Calibri" w:cs="Calibri" w:eastAsia="Calibri" w:hAnsi="Calibri"/>
                <w:b/>
                <w:bCs/>
                <w:color w:val="0C0E13"/>
                <w:sz w:val="15"/>
                <w:szCs w:val="15"/>
              </w:rPr>
              <w:t xml:space="preserve"/>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no_change</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nothing changes after the checkpoint</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READY</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READY</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clone_same_history</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state copied to a fresh clone of the same repo</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READY</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READY</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clone_extra_edit</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fresh clone plus a local uncommitted edit</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edit_tracked_file</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append to a tracked file (uncommitted)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new_untracked_file</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create a new untracked file</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whitespace_only_edit</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whitespace-only edit</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chmod_only</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file mode change only</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delete_tracked_file</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delete a tracked, unrelated file</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delete_decision_code</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delete the file a decision points at</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one_new_commit</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one new unrelated commit</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five_new_commits</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five new commits</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commit_touches_planned</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commit edits the planned task's file</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assumption_text_removed</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assumed text removed from file</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branch_switch</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checkout a new branch</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BLOCKED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BLOCKED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detached_head</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detach HEAD at same commit</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BLOCKED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BLOCKED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amend_head</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amend the checkpointed commit</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BLOCKED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BLOCKED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reset_hard_back</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reset --hard to the previous commit</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BLOCKED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BLOCKED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same_commit_new_branch_name</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rename branch (same commit)</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BLOCKED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BLOCKED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edit_env_file</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create .env (excluded by default)</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READY</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READY</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edit_own_notes</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edit contextbridge/HANDOFF.md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READY</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READY</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gitignored_change</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write a git-ignored build artifact</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READY</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READY</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revert_wip_file</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WIP file reverted with git checkout</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stash_wip_file</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WIP file stashed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commit_wip_file</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WIP file committed unchanged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wip_edited_again</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WIP file edited further</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next_action_file_created</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create the file named by --next-path</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nested_git_repo_added</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a nested git repo appears as a new directory</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remote_ahead_unfetched</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teammate pushed to origin; local clone has not fetched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READY</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MISS</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nested_repo_edited_after_checkpoint</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nested repo existed at checkpoint; edited and committed inside it afterwards</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rename_file</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git mv a tracked file</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symlink_added</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add a symlink to a file</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binary_file_added</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add a binary file</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unicode_filename</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add a file with a non-ASCII, spaced name</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failed_run_after</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a test run fails after the checkpoint</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unfinished_run</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a recorded run never finished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claim_without_any_run</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completed claim, zero test runs recorded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state_deleted</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contextbridge/state.json deleted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BLOCKED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BLOCKED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state_corrupt</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state.json truncated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BLOCKED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BLOCKED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state_wrong_schema</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state.json from a future schema</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BLOCKED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BLOCKED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touch_mtime_only</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touch a tracked file (mtime only)</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READY</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READY</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git_gc</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run git gc</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READY</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READY</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add_lightweight_tag</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add a tag</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READY</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READY</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checkout_same_branch</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git checkout main (already on it)</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READY</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READY</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worktree_added</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git worktree add in a sibling dir</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READY</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READY</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ignored_200_files</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200 files under a gitignored dir</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READY</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READY</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env_local_file</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create .env.local</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READY</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READY</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pem_file</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create server.pem</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READY</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READY</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credentials_json</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create credentials.json</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READY</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READY</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custom_ignore_pattern</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create a file matching .contextbridgeignore</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READY</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READY</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edit_then_restore</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edit a file then git checkout -- file</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READY</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READY</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add_then_delete_untracked</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create then delete an untracked file</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READY</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READY</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commit_then_hard_reset_back</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commit then reset --hard HEAD~1</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READY</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READY</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edit_10_files</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edit 10 tracked-style files</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edit_50_untracked</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50 new untracked files</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untracked_1000_files</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1000 new untracked files</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large_file_20mb</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add a 20 MB file</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crlf_conversion</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rewrite a file with CRLF line endings</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file_becomes_directory</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delete src/b.py, create directory src/b.py/</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case_only_rename</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git mv README.md Readme.md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newline_in_filename</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file name containing a newline</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empty_commit</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git commit --allow-empty</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merge_commit</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no-ff merge of a side branch</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fast_forward</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fast-forward main to a side branch</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cherry_pick</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cherry-pick a side-branch commit</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commit_then_revert</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commit then git revert it</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stash_pop_roundtrip</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edit, stash, stash pop</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soft_reset_keeps_changes</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commit then reset --soft HEAD~1</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main_moved_unrelated</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force main onto an unrelated commit</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BLOCKED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BLOCKED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detached_at_older_commit</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detach at the root commit</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BLOCKED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BLOCKED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orphan_branch</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checkout --orphan</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BLOCKED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BLOCKED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delete_original_branch</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move to tmp and delete main</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BLOCKED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BLOCKED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state_empty_object</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state.json is {}</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BLOCKED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BLOCKED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state_snapshot_null</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state.json snapshot is null</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BLOCKED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BLOCKED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graph_corrupt</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graph.json corrupt</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BLOCKED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BLOCKED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sessions_corrupt</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sessions.json corrupt</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BLOCKED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BLOCKED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state_wrong_type</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state.json is a JSON list</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BLOCKED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BLOCKED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assumption_file_renamed</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the assumed file is renamed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decision_test_changed</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a decision's test file is edited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session_overlap_modified</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modify a file claimed by two sessions</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stash_u_removes_untracked_notes</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git stash -u while notes are untracked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BLOCKED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BLOCKED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stash_u_with_local_only</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git stash -u when notes use init --local-only</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READY</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READY</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git_clean_fd_removes_notes</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git clean -fd while notes are untracked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BLOCKED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BLOCKED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git_clean_fd_with_local_only</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git clean -fd when notes use init --local-only</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READY</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READY</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wip_survives_untouched</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WIP file left exactly as at checkpoint</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READY</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READY</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wip_plus_new_file</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WIP file plus one new file</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r>
        <w:trPr>
          <w:cantSplit/>
        </w:trPr>
        <w:tc>
          <w:tcPr>
            <w:tcW w:type="dxa" w:w="23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no_evidence_no_claim_edit</w:t>
            </w:r>
          </w:p>
        </w:tc>
        <w:tc>
          <w:tcPr>
            <w:tcW w:type="dxa" w:w="32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no tests ever recorded, then an edit</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150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onsolas" w:cs="Consolas" w:eastAsia="Consolas" w:hAnsi="Consolas"/>
                <w:b w:val="false"/>
                <w:bCs w:val="false"/>
                <w:color w:val="0C0E13"/>
                <w:sz w:val="15"/>
                <w:szCs w:val="15"/>
              </w:rPr>
              <w:t xml:space="preserve">REVIEW_REQUIRED</w:t>
            </w:r>
          </w:p>
        </w:tc>
        <w:tc>
          <w:tcPr>
            <w:tcW w:type="dxa" w:w="860"/>
            <w:tcBorders>
              <w:top w:val="single" w:color="D9D5CB" w:sz="4"/>
              <w:left w:val="single" w:color="D9D5CB" w:sz="4"/>
              <w:bottom w:val="single" w:color="D9D5CB" w:sz="4"/>
              <w:right w:val="single" w:color="D9D5CB" w:sz="4"/>
            </w:tcBorders>
            <w:tcMar>
              <w:top w:type="dxa" w:w="70"/>
              <w:left w:type="dxa" w:w="100"/>
              <w:bottom w:type="dxa" w:w="70"/>
              <w:right w:type="dxa" w:w="100"/>
            </w:tcMar>
          </w:tcPr>
          <w:p>
            <w:pPr>
              <w:spacing w:after="0" w:line="252"/>
            </w:pPr>
            <w:r>
              <w:rPr>
                <w:rFonts w:ascii="Calibri" w:cs="Calibri" w:eastAsia="Calibri" w:hAnsi="Calibri"/>
                <w:b w:val="false"/>
                <w:bCs w:val="false"/>
                <w:color w:val="0C0E13"/>
                <w:sz w:val="15"/>
                <w:szCs w:val="15"/>
              </w:rPr>
              <w:t xml:space="preserve">ok</w:t>
            </w:r>
          </w:p>
        </w:tc>
      </w:tr>
    </w:tbl>
    <w:sectPr>
      <w:footerReference w:type="default" r:id="rId6"/>
      <w:pgSz w:w="12240" w:h="15840" w:orient="portrait"/>
      <w:pgMar w:top="1300" w:right="1440" w:bottom="120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66B78"/>
        <w:sz w:val="17"/>
        <w:szCs w:val="17"/>
      </w:rPr>
      <w:t xml:space="preserve">ContextBridge benchmark report  ·  page </w:t>
    </w:r>
    <w:r>
      <w:rPr>
        <w:rFonts w:ascii="Calibri" w:cs="Calibri" w:eastAsia="Calibri" w:hAnsi="Calibri"/>
        <w:color w:val="666B78"/>
        <w:sz w:val="17"/>
        <w:szCs w:val="17"/>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60"/>
      <w:outlineLvl w:val="0"/>
    </w:pPr>
    <w:rPr>
      <w:rFonts w:ascii="Calibri" w:cs="Calibri" w:eastAsia="Calibri" w:hAnsi="Calibri"/>
      <w:b/>
      <w:bCs/>
      <w:color w:val="0C0E13"/>
      <w:sz w:val="36"/>
      <w:szCs w:val="36"/>
    </w:rPr>
  </w:style>
  <w:style w:type="paragraph" w:styleId="Heading2">
    <w:name w:val="Heading 2"/>
    <w:basedOn w:val="Normal"/>
    <w:next w:val="Normal"/>
    <w:qFormat/>
    <w:pPr>
      <w:keepNext/>
      <w:spacing w:after="100" w:before="240"/>
      <w:outlineLvl w:val="1"/>
    </w:pPr>
    <w:rPr>
      <w:rFonts w:ascii="Calibri" w:cs="Calibri" w:eastAsia="Calibri" w:hAnsi="Calibri"/>
      <w:b/>
      <w:bCs/>
      <w:color w:val="FF4A1C"/>
      <w:sz w:val="26"/>
      <w:szCs w:val="26"/>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2f050749c4c19b1b1fd856dcf4603cd78e7c4ed9.png"/><Relationship Id="rId9" Type="http://schemas.openxmlformats.org/officeDocument/2006/relationships/image" Target="media/f92b22a53827dfd9e32362f2bc12691be0404aae.png"/><Relationship Id="rId10" Type="http://schemas.openxmlformats.org/officeDocument/2006/relationships/image" Target="media/7d4f2506466ea8d83976be15c87723cf9acc86e0.png"/><Relationship Id="rId11" Type="http://schemas.openxmlformats.org/officeDocument/2006/relationships/image" Target="media/eb52f42ac7da7721de1e0c1a5099a24b773e501d.png"/><Relationship Id="rId12" Type="http://schemas.openxmlformats.org/officeDocument/2006/relationships/image" Target="media/350d2af6f67d06994d0349b618d164fea469fda0.png"/><Relationship Id="rId13" Type="http://schemas.openxmlformats.org/officeDocument/2006/relationships/image" Target="media/037ad42c5427b227f561c4a3b179cd1cfe5f9e1b.png"/><Relationship Id="rId14" Type="http://schemas.openxmlformats.org/officeDocument/2006/relationships/image" Target="media/af820326a14960cf2442ee4126072d7843b14d67.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ContextBridge benchmark report</dc:title>
  <dc:creator>ContextBridge</dc:creator>
  <cp:lastModifiedBy>Un-named</cp:lastModifiedBy>
  <cp:revision>1</cp:revision>
  <dcterms:created xsi:type="dcterms:W3CDTF">2026-10-12T10:34:38.692Z</dcterms:created>
  <dcterms:modified xsi:type="dcterms:W3CDTF">2026-10-12T10:34:38.695Z</dcterms:modified>
</cp:coreProperties>
</file>

<file path=docProps/custom.xml><?xml version="1.0" encoding="utf-8"?>
<Properties xmlns="http://schemas.openxmlformats.org/officeDocument/2006/custom-properties" xmlns:vt="http://schemas.openxmlformats.org/officeDocument/2006/docPropsVTypes"/>
</file>